
<file path=[Content_Types].xml><?xml version="1.0" encoding="utf-8"?>
<Types xmlns="http://schemas.openxmlformats.org/package/2006/content-types">
  <Override PartName="/_rels/.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theme/theme1.xml" ContentType="application/vnd.openxmlformats-officedocument.theme+xml"/>
  <Override PartName="/word/header1.xml" ContentType="application/vnd.openxmlformats-officedocument.wordprocessingml.header+xml"/>
  <Override PartName="/word/media/image14.png" ContentType="image/png"/>
  <Override PartName="/word/media/image13.png" ContentType="image/png"/>
  <Override PartName="/word/media/image12.png" ContentType="image/png"/>
  <Override PartName="/word/media/image11.png" ContentType="image/png"/>
  <Override PartName="/word/media/image4.png" ContentType="image/png"/>
  <Override PartName="/word/media/image3.png" ContentType="image/png"/>
  <Override PartName="/word/media/image2.png" ContentType="image/png"/>
  <Override PartName="/word/media/image6.tif" ContentType="image/tiff"/>
  <Override PartName="/word/media/image1.png" ContentType="image/png"/>
  <Override PartName="/word/media/image5.png" ContentType="image/png"/>
  <Override PartName="/word/media/image7.png" ContentType="image/png"/>
  <Override PartName="/word/media/image8.png" ContentType="image/png"/>
  <Override PartName="/word/media/image10.png" ContentType="image/png"/>
  <Override PartName="/word/media/image9.png" ContentType="image/png"/>
  <Override PartName="/word/styles.xml" ContentType="application/vnd.openxmlformats-officedocument.wordprocessingml.style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customXml/item4.xml" ContentType="application/xml"/>
  <Override PartName="/customXml/itemProps4.xml" ContentType="application/vnd.openxmlformats-officedocument.customXmlProperties+xml"/>
  <Override PartName="/customXml/item3.xml" ContentType="application/xml"/>
  <Override PartName="/customXml/_rels/item4.xml.rels" ContentType="application/vnd.openxmlformats-package.relationships+xml"/>
  <Override PartName="/customXml/_rels/item3.xml.rels" ContentType="application/vnd.openxmlformats-package.relationships+xml"/>
  <Override PartName="/customXml/_rels/item2.xml.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Props3.xml" ContentType="application/vnd.openxmlformats-officedocument.customXmlProperties+xml"/>
  <Override PartName="/customXml/item2.xml" ContentType="application/xml"/>
  <Override PartName="/customXml/item1.xml" ContentType="application/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EuCARDSubtitle"/>
        <w:spacing w:before="40" w:after="40"/>
        <w:rPr/>
      </w:pPr>
      <w:bookmarkStart w:id="0" w:name="_GoBack"/>
      <w:bookmarkStart w:id="1" w:name="_GoBack"/>
      <w:bookmarkEnd w:id="1"/>
      <w:r>
        <w:rPr/>
      </w:r>
    </w:p>
    <w:p>
      <w:pPr>
        <w:pStyle w:val="EuCARDSubtitle"/>
        <w:rPr/>
      </w:pPr>
      <w:r>
        <w:rPr/>
        <w:t>Grant Agreement No: 654168</w:t>
      </w:r>
    </w:p>
    <w:p>
      <w:pPr>
        <w:pStyle w:val="EuCARDTitle"/>
        <w:rPr/>
      </w:pPr>
      <w:r>
        <w:rPr/>
        <w:t>AIDA-2020</w:t>
      </w:r>
    </w:p>
    <w:p>
      <w:pPr>
        <w:pStyle w:val="EuCARDSubtitle"/>
        <w:rPr/>
      </w:pPr>
      <w:r>
        <w:rPr/>
        <w:t>Advanced European Infrastructures for Detectors at Accelerators</w:t>
      </w:r>
    </w:p>
    <w:p>
      <w:pPr>
        <w:pStyle w:val="Normal"/>
        <w:jc w:val="center"/>
        <w:rPr>
          <w:rFonts w:ascii="Arial" w:hAnsi="Arial"/>
          <w:color w:val="000099"/>
          <w:spacing w:val="20"/>
          <w:sz w:val="18"/>
        </w:rPr>
      </w:pPr>
      <w:r>
        <w:rPr>
          <w:rFonts w:ascii="Arial" w:hAnsi="Arial"/>
          <w:color w:val="000099"/>
          <w:spacing w:val="20"/>
          <w:sz w:val="18"/>
        </w:rPr>
        <w:t>Horizon 2020 Research Infrastructures project AIDA-2020</w:t>
      </w:r>
    </w:p>
    <w:p>
      <w:pPr>
        <w:pStyle w:val="Normal"/>
        <w:jc w:val="center"/>
        <w:rPr/>
      </w:pPr>
      <w:r>
        <w:rPr/>
      </w:r>
    </w:p>
    <w:p>
      <w:pPr>
        <w:pStyle w:val="ReportType"/>
        <w:shd w:fill="000000" w:val="clear"/>
        <w:rPr/>
      </w:pPr>
      <w:r>
        <w:rPr/>
        <w:t>deliverable report</w:t>
      </w:r>
    </w:p>
    <w:p>
      <w:pPr>
        <w:pStyle w:val="Normal"/>
        <w:rPr/>
      </w:pPr>
      <w:r>
        <w:rPr/>
      </w:r>
    </w:p>
    <w:p>
      <w:pPr>
        <w:pStyle w:val="DocTitle"/>
        <w:rPr/>
      </w:pPr>
      <w:r>
        <w:rPr/>
        <w:t>Very compact calorimeters</w:t>
      </w:r>
    </w:p>
    <w:p>
      <w:pPr>
        <w:pStyle w:val="Normal"/>
        <w:rPr/>
      </w:pPr>
      <w:r>
        <w:rPr/>
      </w:r>
    </w:p>
    <w:p>
      <w:pPr>
        <w:pStyle w:val="Deliverable"/>
        <w:rPr/>
      </w:pPr>
      <w:r>
        <w:rPr/>
        <w:t>Deliverable: D</w:t>
      </w:r>
      <w:r>
        <w:rPr/>
        <w:t>14</w:t>
      </w:r>
      <w:r>
        <w:rPr/>
        <w:t>.</w:t>
      </w:r>
      <w:r>
        <w:rPr/>
        <w:t>4</w:t>
      </w:r>
    </w:p>
    <w:p>
      <w:pPr>
        <w:pStyle w:val="Normal"/>
        <w:rPr/>
      </w:pPr>
      <w:r>
        <w:rPr/>
      </w:r>
    </w:p>
    <w:tbl>
      <w:tblPr>
        <w:tblW w:w="5000" w:type="pct"/>
        <w:jc w:val="center"/>
        <w:tblInd w:w="0" w:type="dxa"/>
        <w:tblBorders>
          <w:top w:val="single" w:sz="24" w:space="0" w:color="000099"/>
        </w:tblBorders>
        <w:tblCellMar>
          <w:top w:w="0" w:type="dxa"/>
          <w:left w:w="70" w:type="dxa"/>
          <w:bottom w:w="0" w:type="dxa"/>
          <w:right w:w="70" w:type="dxa"/>
        </w:tblCellMar>
        <w:tblLook w:val="0000" w:noVBand="0" w:noHBand="0" w:lastColumn="0" w:firstColumn="0" w:lastRow="0" w:firstRow="0"/>
      </w:tblPr>
      <w:tblGrid>
        <w:gridCol w:w="4016"/>
        <w:gridCol w:w="5621"/>
      </w:tblGrid>
      <w:tr>
        <w:trPr>
          <w:trHeight w:val="404" w:hRule="atLeast"/>
          <w:cantSplit w:val="true"/>
        </w:trPr>
        <w:tc>
          <w:tcPr>
            <w:tcW w:w="4016" w:type="dxa"/>
            <w:tcBorders>
              <w:top w:val="single" w:sz="24" w:space="0" w:color="000099"/>
            </w:tcBorders>
            <w:shd w:fill="auto" w:val="clear"/>
            <w:vAlign w:val="center"/>
          </w:tcPr>
          <w:p>
            <w:pPr>
              <w:pStyle w:val="CoverTitle"/>
              <w:spacing w:before="120" w:after="120"/>
              <w:jc w:val="left"/>
              <w:rPr/>
            </w:pPr>
            <w:r>
              <w:rPr/>
              <w:t>Document identifier:</w:t>
            </w:r>
          </w:p>
        </w:tc>
        <w:tc>
          <w:tcPr>
            <w:tcW w:w="5621" w:type="dxa"/>
            <w:tcBorders>
              <w:top w:val="single" w:sz="24" w:space="0" w:color="000099"/>
            </w:tcBorders>
            <w:shd w:fill="auto" w:val="clear"/>
            <w:vAlign w:val="center"/>
          </w:tcPr>
          <w:p>
            <w:pPr>
              <w:pStyle w:val="Normal"/>
              <w:widowControl/>
              <w:suppressAutoHyphens w:val="true"/>
              <w:bidi w:val="0"/>
              <w:spacing w:before="40" w:after="40"/>
              <w:jc w:val="both"/>
              <w:rPr/>
            </w:pPr>
            <w:r>
              <w:rPr/>
              <w:fldChar w:fldCharType="begin"/>
            </w:r>
            <w:r>
              <w:instrText> FILENAME </w:instrText>
            </w:r>
            <w:r>
              <w:fldChar w:fldCharType="separate"/>
            </w:r>
            <w:r>
              <w:t>AIDA-2020_Deliverable_D14_4.docx</w:t>
            </w:r>
            <w:r>
              <w:fldChar w:fldCharType="end"/>
            </w:r>
          </w:p>
        </w:tc>
      </w:tr>
      <w:tr>
        <w:trPr>
          <w:trHeight w:val="608" w:hRule="atLeast"/>
          <w:cantSplit w:val="true"/>
        </w:trPr>
        <w:tc>
          <w:tcPr>
            <w:tcW w:w="4016" w:type="dxa"/>
            <w:tcBorders/>
            <w:shd w:fill="auto" w:val="clear"/>
            <w:vAlign w:val="center"/>
          </w:tcPr>
          <w:p>
            <w:pPr>
              <w:pStyle w:val="CoverTitle"/>
              <w:spacing w:before="120" w:after="120"/>
              <w:jc w:val="left"/>
              <w:rPr/>
            </w:pPr>
            <w:r>
              <w:rPr/>
              <w:t>Due date of deliverable:</w:t>
            </w:r>
          </w:p>
        </w:tc>
        <w:tc>
          <w:tcPr>
            <w:tcW w:w="5621" w:type="dxa"/>
            <w:tcBorders/>
            <w:shd w:fill="auto" w:val="clear"/>
            <w:vAlign w:val="center"/>
          </w:tcPr>
          <w:p>
            <w:pPr>
              <w:pStyle w:val="Normal"/>
              <w:widowControl/>
              <w:suppressAutoHyphens w:val="true"/>
              <w:bidi w:val="0"/>
              <w:spacing w:before="40" w:after="40"/>
              <w:jc w:val="both"/>
              <w:rPr/>
            </w:pPr>
            <w:r>
              <w:rPr/>
              <w:t>End of Month 57 (January 2020)</w:t>
            </w:r>
          </w:p>
        </w:tc>
      </w:tr>
      <w:tr>
        <w:trPr>
          <w:trHeight w:val="608" w:hRule="atLeast"/>
          <w:cantSplit w:val="true"/>
        </w:trPr>
        <w:tc>
          <w:tcPr>
            <w:tcW w:w="4016" w:type="dxa"/>
            <w:tcBorders/>
            <w:shd w:fill="auto" w:val="clear"/>
            <w:vAlign w:val="center"/>
          </w:tcPr>
          <w:p>
            <w:pPr>
              <w:pStyle w:val="CoverTitle"/>
              <w:spacing w:before="120" w:after="120"/>
              <w:jc w:val="left"/>
              <w:rPr>
                <w:highlight w:val="yellow"/>
              </w:rPr>
            </w:pPr>
            <w:r>
              <w:rPr/>
              <w:t>Justification for delay:</w:t>
            </w:r>
          </w:p>
        </w:tc>
        <w:tc>
          <w:tcPr>
            <w:tcW w:w="5621" w:type="dxa"/>
            <w:tcBorders/>
            <w:shd w:fill="auto" w:val="clear"/>
            <w:vAlign w:val="center"/>
          </w:tcPr>
          <w:p>
            <w:pPr>
              <w:pStyle w:val="Normal"/>
              <w:widowControl/>
              <w:suppressAutoHyphens w:val="true"/>
              <w:bidi w:val="0"/>
              <w:spacing w:before="40" w:after="40"/>
              <w:jc w:val="both"/>
              <w:rPr>
                <w:highlight w:val="yellow"/>
              </w:rPr>
            </w:pPr>
            <w:r>
              <w:rPr/>
              <w:t>[if delays occurred]</w:t>
            </w:r>
          </w:p>
        </w:tc>
      </w:tr>
      <w:tr>
        <w:trPr>
          <w:cantSplit w:val="true"/>
        </w:trPr>
        <w:tc>
          <w:tcPr>
            <w:tcW w:w="4016" w:type="dxa"/>
            <w:tcBorders/>
            <w:shd w:fill="auto" w:val="clear"/>
            <w:vAlign w:val="center"/>
          </w:tcPr>
          <w:p>
            <w:pPr>
              <w:pStyle w:val="CoverTitle"/>
              <w:spacing w:before="120" w:after="120"/>
              <w:jc w:val="left"/>
              <w:rPr/>
            </w:pPr>
            <w:r>
              <w:rPr/>
              <w:t>Report release date:</w:t>
            </w:r>
          </w:p>
        </w:tc>
        <w:tc>
          <w:tcPr>
            <w:tcW w:w="5621" w:type="dxa"/>
            <w:tcBorders/>
            <w:shd w:fill="auto" w:val="clear"/>
            <w:vAlign w:val="center"/>
          </w:tcPr>
          <w:p>
            <w:pPr>
              <w:pStyle w:val="DocDate"/>
              <w:spacing w:before="120" w:after="120"/>
              <w:rPr/>
            </w:pPr>
            <w:r>
              <w:rPr/>
              <w:t>dd/mm/yyyy</w:t>
            </w:r>
          </w:p>
        </w:tc>
      </w:tr>
      <w:tr>
        <w:trPr>
          <w:cantSplit w:val="true"/>
        </w:trPr>
        <w:tc>
          <w:tcPr>
            <w:tcW w:w="4016" w:type="dxa"/>
            <w:tcBorders/>
            <w:shd w:fill="auto" w:val="clear"/>
            <w:vAlign w:val="center"/>
          </w:tcPr>
          <w:p>
            <w:pPr>
              <w:pStyle w:val="CoverTitle"/>
              <w:spacing w:before="120" w:after="120"/>
              <w:jc w:val="left"/>
              <w:rPr/>
            </w:pPr>
            <w:r>
              <w:rPr/>
              <w:t>Work package:</w:t>
            </w:r>
          </w:p>
        </w:tc>
        <w:tc>
          <w:tcPr>
            <w:tcW w:w="5621" w:type="dxa"/>
            <w:tcBorders/>
            <w:shd w:fill="auto" w:val="clear"/>
            <w:vAlign w:val="center"/>
          </w:tcPr>
          <w:p>
            <w:pPr>
              <w:pStyle w:val="Normal"/>
              <w:widowControl/>
              <w:suppressAutoHyphens w:val="true"/>
              <w:bidi w:val="0"/>
              <w:spacing w:before="40" w:after="40"/>
              <w:jc w:val="both"/>
              <w:rPr/>
            </w:pPr>
            <w:r>
              <w:rPr/>
              <w:t>WP14: Infrastructure for advanced calorimeters</w:t>
            </w:r>
          </w:p>
        </w:tc>
      </w:tr>
      <w:tr>
        <w:trPr>
          <w:cantSplit w:val="true"/>
        </w:trPr>
        <w:tc>
          <w:tcPr>
            <w:tcW w:w="4016" w:type="dxa"/>
            <w:tcBorders/>
            <w:shd w:fill="auto" w:val="clear"/>
            <w:vAlign w:val="center"/>
          </w:tcPr>
          <w:p>
            <w:pPr>
              <w:pStyle w:val="CoverTitle"/>
              <w:spacing w:before="120" w:after="120"/>
              <w:jc w:val="left"/>
              <w:rPr/>
            </w:pPr>
            <w:r>
              <w:rPr/>
              <w:t>Lead beneficiary:</w:t>
            </w:r>
          </w:p>
        </w:tc>
        <w:tc>
          <w:tcPr>
            <w:tcW w:w="5621" w:type="dxa"/>
            <w:tcBorders/>
            <w:shd w:fill="auto" w:val="clear"/>
            <w:vAlign w:val="center"/>
          </w:tcPr>
          <w:p>
            <w:pPr>
              <w:pStyle w:val="Normal"/>
              <w:widowControl/>
              <w:suppressAutoHyphens w:val="true"/>
              <w:bidi w:val="0"/>
              <w:spacing w:before="40" w:after="40"/>
              <w:jc w:val="both"/>
              <w:rPr/>
            </w:pPr>
            <w:r>
              <w:rPr/>
              <w:t>AGH-UST</w:t>
            </w:r>
          </w:p>
        </w:tc>
      </w:tr>
      <w:tr>
        <w:trPr>
          <w:cantSplit w:val="true"/>
        </w:trPr>
        <w:tc>
          <w:tcPr>
            <w:tcW w:w="4016" w:type="dxa"/>
            <w:tcBorders>
              <w:top w:val="single" w:sz="24" w:space="0" w:color="000099"/>
              <w:bottom w:val="single" w:sz="24" w:space="0" w:color="000099"/>
              <w:insideH w:val="single" w:sz="24" w:space="0" w:color="000099"/>
            </w:tcBorders>
            <w:shd w:fill="auto" w:val="clear"/>
            <w:vAlign w:val="center"/>
          </w:tcPr>
          <w:p>
            <w:pPr>
              <w:pStyle w:val="CoverTitle"/>
              <w:spacing w:before="120" w:after="120"/>
              <w:jc w:val="left"/>
              <w:rPr/>
            </w:pPr>
            <w:r>
              <w:rPr/>
              <w:t>Document status:</w:t>
            </w:r>
          </w:p>
        </w:tc>
        <w:tc>
          <w:tcPr>
            <w:tcW w:w="5621" w:type="dxa"/>
            <w:tcBorders>
              <w:top w:val="single" w:sz="24" w:space="0" w:color="000099"/>
              <w:bottom w:val="single" w:sz="24" w:space="0" w:color="000099"/>
              <w:insideH w:val="single" w:sz="24" w:space="0" w:color="000099"/>
            </w:tcBorders>
            <w:shd w:fill="auto" w:val="clear"/>
            <w:vAlign w:val="center"/>
          </w:tcPr>
          <w:p>
            <w:pPr>
              <w:pStyle w:val="Normal"/>
              <w:widowControl/>
              <w:suppressAutoHyphens w:val="true"/>
              <w:bidi w:val="0"/>
              <w:spacing w:before="40" w:after="40"/>
              <w:jc w:val="both"/>
              <w:rPr/>
            </w:pPr>
            <w:r>
              <w:rPr/>
              <w:t>Draft</w:t>
            </w:r>
          </w:p>
        </w:tc>
      </w:tr>
    </w:tbl>
    <w:p>
      <w:pPr>
        <w:pStyle w:val="Header"/>
        <w:rPr/>
      </w:pPr>
      <w:r>
        <w:rPr/>
      </w:r>
    </w:p>
    <w:p>
      <w:pPr>
        <w:pStyle w:val="CoverTitle"/>
        <w:rPr/>
      </w:pPr>
      <w:r>
        <w:rPr/>
        <w:t>Abstract:</w:t>
      </w:r>
    </w:p>
    <w:p>
      <w:pPr>
        <w:pStyle w:val="Normal"/>
        <w:rPr/>
      </w:pPr>
      <w:r>
        <w:rPr/>
        <w:t xml:space="preserve">The goal of this task was to build a very compact tungsten based calorimeter. For this aim a </w:t>
      </w:r>
      <w:r>
        <w:rPr/>
        <w:t xml:space="preserve">compact </w:t>
      </w:r>
      <w:r>
        <w:rPr/>
        <w:t>multi</w:t>
      </w:r>
      <w:r>
        <w:rPr/>
        <w:t>-</w:t>
      </w:r>
      <w:r>
        <w:rPr/>
        <w:t xml:space="preserve">layer sandwich type calorimeter with thin silicon active layers and tungsten absober layers needed to be built. The main components of the calorimeter are:  thin (&lt;1mm) sensor layers, precise </w:t>
      </w:r>
      <w:r>
        <w:rPr/>
        <w:t>thin</w:t>
      </w:r>
      <w:r>
        <w:rPr/>
        <w:t xml:space="preserve"> tungsten absorber plates (&lt;=3.5mm), compact readout boards with dedicated readout ASICs, </w:t>
      </w:r>
      <w:r>
        <w:rPr/>
        <w:t>and a flexible mechanical frame</w:t>
      </w:r>
      <w:r>
        <w:rPr/>
        <w:t xml:space="preserve">. The work performed for this deliverable is a demonstrator of such compact calorimeter together with the results of its validation </w:t>
      </w:r>
      <w:r>
        <w:rPr/>
        <w:t>from</w:t>
      </w:r>
      <w:r>
        <w:rPr/>
        <w:t xml:space="preserve"> beamtests.  </w:t>
      </w:r>
    </w:p>
    <w:p>
      <w:pPr>
        <w:pStyle w:val="Normal"/>
        <w:rPr/>
      </w:pPr>
      <w:r>
        <w:rPr/>
      </w:r>
    </w:p>
    <w:p>
      <w:pPr>
        <w:pStyle w:val="Normal"/>
        <w:rPr/>
      </w:pPr>
      <w:r>
        <w:rPr/>
      </w:r>
    </w:p>
    <w:p>
      <w:pPr>
        <w:pStyle w:val="Normal"/>
        <w:rPr/>
      </w:pPr>
      <w:r>
        <w:rPr/>
      </w:r>
      <w:r>
        <w:br w:type="page"/>
      </w:r>
    </w:p>
    <w:p>
      <w:pPr>
        <w:pStyle w:val="CopyrightText"/>
        <w:rPr/>
      </w:pPr>
      <w:r>
        <w:rPr/>
      </w:r>
    </w:p>
    <w:p>
      <w:pPr>
        <w:pStyle w:val="CopyrightText"/>
        <w:rPr/>
      </w:pPr>
      <w:r>
        <w:rPr/>
        <w:t xml:space="preserve">AIDA-2020 Consortium, </w:t>
      </w:r>
      <w:r>
        <w:rPr/>
        <w:t>2020</w:t>
      </w:r>
    </w:p>
    <w:p>
      <w:pPr>
        <w:pStyle w:val="CopyrightText"/>
        <w:rPr/>
      </w:pPr>
      <w:r>
        <w:rPr/>
        <w:t xml:space="preserve">For more information on AIDA-2020, its partners and contributors please see </w:t>
      </w:r>
      <w:hyperlink r:id="rId2">
        <w:r>
          <w:rPr>
            <w:rStyle w:val="InternetLink"/>
          </w:rPr>
          <w:t>www.cern.ch/AIDA2020</w:t>
        </w:r>
      </w:hyperlink>
    </w:p>
    <w:p>
      <w:pPr>
        <w:pStyle w:val="CopyrightText"/>
        <w:tabs>
          <w:tab w:val="left" w:pos="2865" w:leader="none"/>
        </w:tabs>
        <w:rPr/>
      </w:pPr>
      <w:r>
        <w:rPr/>
        <w:tab/>
      </w:r>
    </w:p>
    <w:p>
      <w:pPr>
        <w:pStyle w:val="CopyrightText"/>
        <w:rPr/>
      </w:pPr>
      <w:r>
        <w:rPr/>
        <w:t xml:space="preserve">The Advanced European Infrastructures for Detectors at Accelerators (AIDA-2020) project has received funding from the European Union’s Horizon 2020 Research and Innovation programme under Grant Agreement no. 654168. AIDA-2020 began in May 2015 and will run for 4 years. </w:t>
      </w:r>
    </w:p>
    <w:p>
      <w:pPr>
        <w:pStyle w:val="CopyrightText"/>
        <w:rPr/>
      </w:pPr>
      <w:r>
        <w:rPr/>
      </w:r>
    </w:p>
    <w:p>
      <w:pPr>
        <w:pStyle w:val="Normal"/>
        <w:rPr/>
      </w:pPr>
      <w:r>
        <w:rPr/>
      </w:r>
    </w:p>
    <w:p>
      <w:pPr>
        <w:pStyle w:val="CenteredTitle"/>
        <w:rPr/>
      </w:pPr>
      <w:r>
        <w:rPr/>
        <w:t>Delivery Slip</w:t>
      </w:r>
    </w:p>
    <w:tbl>
      <w:tblPr>
        <w:tblW w:w="5000" w:type="pct"/>
        <w:jc w:val="left"/>
        <w:tblInd w:w="-5" w:type="dxa"/>
        <w:tblBorders>
          <w:top w:val="single" w:sz="4" w:space="0" w:color="00000A"/>
          <w:left w:val="single" w:sz="4" w:space="0" w:color="00000A"/>
          <w:bottom w:val="single" w:sz="4" w:space="0" w:color="00000A"/>
          <w:right w:val="single" w:sz="6" w:space="0" w:color="00000A"/>
          <w:insideH w:val="single" w:sz="4" w:space="0" w:color="00000A"/>
          <w:insideV w:val="single" w:sz="6" w:space="0" w:color="00000A"/>
        </w:tblBorders>
        <w:tblCellMar>
          <w:top w:w="0" w:type="dxa"/>
          <w:left w:w="60" w:type="dxa"/>
          <w:bottom w:w="0" w:type="dxa"/>
          <w:right w:w="70" w:type="dxa"/>
        </w:tblCellMar>
        <w:tblLook w:val="0000" w:noVBand="0" w:noHBand="0" w:lastColumn="0" w:firstColumn="0" w:lastRow="0" w:firstRow="0"/>
      </w:tblPr>
      <w:tblGrid>
        <w:gridCol w:w="1716"/>
        <w:gridCol w:w="4898"/>
        <w:gridCol w:w="1590"/>
        <w:gridCol w:w="1433"/>
      </w:tblGrid>
      <w:tr>
        <w:trPr>
          <w:trHeight w:val="336" w:hRule="atLeast"/>
          <w:cantSplit w:val="true"/>
        </w:trPr>
        <w:tc>
          <w:tcPr>
            <w:tcW w:w="1716" w:type="dxa"/>
            <w:tcBorders>
              <w:top w:val="single" w:sz="4" w:space="0" w:color="00000A"/>
              <w:left w:val="single" w:sz="4" w:space="0" w:color="00000A"/>
              <w:bottom w:val="single" w:sz="4" w:space="0" w:color="00000A"/>
              <w:right w:val="single" w:sz="6" w:space="0" w:color="00000A"/>
              <w:insideH w:val="single" w:sz="4" w:space="0" w:color="00000A"/>
              <w:insideV w:val="single" w:sz="6" w:space="0" w:color="00000A"/>
            </w:tcBorders>
            <w:shd w:color="auto" w:fill="FFFFFF" w:val="pct10"/>
            <w:tcMar>
              <w:left w:w="60" w:type="dxa"/>
            </w:tcMar>
          </w:tcPr>
          <w:p>
            <w:pPr>
              <w:pStyle w:val="CoverTitle"/>
              <w:spacing w:before="120" w:after="120"/>
              <w:jc w:val="left"/>
              <w:rPr/>
            </w:pPr>
            <w:r>
              <w:rPr/>
            </w:r>
          </w:p>
        </w:tc>
        <w:tc>
          <w:tcPr>
            <w:tcW w:w="4898"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54" w:type="dxa"/>
            </w:tcMar>
          </w:tcPr>
          <w:p>
            <w:pPr>
              <w:pStyle w:val="CoverTitle"/>
              <w:spacing w:before="120" w:after="120"/>
              <w:jc w:val="left"/>
              <w:rPr/>
            </w:pPr>
            <w:r>
              <w:rPr/>
              <w:t>Name</w:t>
            </w:r>
          </w:p>
        </w:tc>
        <w:tc>
          <w:tcPr>
            <w:tcW w:w="1590"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54" w:type="dxa"/>
            </w:tcMar>
          </w:tcPr>
          <w:p>
            <w:pPr>
              <w:pStyle w:val="CoverTitle"/>
              <w:spacing w:before="120" w:after="120"/>
              <w:jc w:val="left"/>
              <w:rPr/>
            </w:pPr>
            <w:r>
              <w:rPr/>
              <w:t>Partner</w:t>
            </w:r>
          </w:p>
        </w:tc>
        <w:tc>
          <w:tcPr>
            <w:tcW w:w="1433" w:type="dxa"/>
            <w:tcBorders>
              <w:top w:val="single" w:sz="4" w:space="0" w:color="00000A"/>
              <w:left w:val="single" w:sz="6" w:space="0" w:color="00000A"/>
              <w:bottom w:val="single" w:sz="4" w:space="0" w:color="00000A"/>
              <w:right w:val="single" w:sz="4" w:space="0" w:color="00000A"/>
              <w:insideH w:val="single" w:sz="4" w:space="0" w:color="00000A"/>
              <w:insideV w:val="single" w:sz="4" w:space="0" w:color="00000A"/>
            </w:tcBorders>
            <w:shd w:color="auto" w:fill="FFFFFF" w:val="pct10"/>
            <w:tcMar>
              <w:left w:w="54" w:type="dxa"/>
            </w:tcMar>
          </w:tcPr>
          <w:p>
            <w:pPr>
              <w:pStyle w:val="CoverTitle"/>
              <w:spacing w:before="120" w:after="120"/>
              <w:jc w:val="left"/>
              <w:rPr/>
            </w:pPr>
            <w:r>
              <w:rPr/>
              <w:t>Date</w:t>
            </w:r>
          </w:p>
        </w:tc>
      </w:tr>
      <w:tr>
        <w:trPr>
          <w:trHeight w:val="227" w:hRule="atLeast"/>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CoverTitle"/>
              <w:spacing w:before="120" w:after="120"/>
              <w:jc w:val="left"/>
              <w:rPr/>
            </w:pPr>
            <w:r>
              <w:rPr/>
              <w:t>Authored by</w:t>
            </w:r>
          </w:p>
        </w:tc>
        <w:tc>
          <w:tcPr>
            <w:tcW w:w="48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spacing w:before="40" w:after="40"/>
              <w:jc w:val="left"/>
              <w:rPr/>
            </w:pPr>
            <w:r>
              <w:rPr/>
              <w:t>M</w:t>
            </w:r>
            <w:r>
              <w:rPr/>
              <w:t xml:space="preserve">. </w:t>
            </w:r>
            <w:r>
              <w:rPr/>
              <w:t>Idzik</w:t>
            </w:r>
          </w:p>
          <w:p>
            <w:pPr>
              <w:pStyle w:val="Normal"/>
              <w:spacing w:before="40" w:after="40"/>
              <w:jc w:val="left"/>
              <w:rPr/>
            </w:pPr>
            <w:r>
              <w:rPr/>
              <w:t>W. Lohmann</w:t>
            </w:r>
          </w:p>
          <w:p>
            <w:pPr>
              <w:pStyle w:val="Normal"/>
              <w:spacing w:before="40" w:after="40"/>
              <w:jc w:val="left"/>
              <w:rPr/>
            </w:pPr>
            <w:r>
              <w:rPr/>
              <w:t>A. Levy</w:t>
            </w:r>
          </w:p>
          <w:p>
            <w:pPr>
              <w:pStyle w:val="Normal"/>
              <w:spacing w:before="40" w:after="40"/>
              <w:jc w:val="left"/>
              <w:rPr/>
            </w:pPr>
            <w:r>
              <w:rPr/>
              <w:t>H. Abramowicz</w:t>
            </w:r>
          </w:p>
        </w:tc>
        <w:tc>
          <w:tcPr>
            <w:tcW w:w="15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pPr>
            <w:r>
              <w:rPr/>
              <w:t>AGH-UST</w:t>
            </w:r>
          </w:p>
          <w:p>
            <w:pPr>
              <w:pStyle w:val="Normal"/>
              <w:widowControl/>
              <w:suppressAutoHyphens w:val="true"/>
              <w:bidi w:val="0"/>
              <w:spacing w:before="40" w:after="40"/>
              <w:jc w:val="both"/>
              <w:rPr/>
            </w:pPr>
            <w:r>
              <w:rPr/>
              <w:t>DESY</w:t>
            </w:r>
          </w:p>
          <w:p>
            <w:pPr>
              <w:pStyle w:val="Normal"/>
              <w:widowControl/>
              <w:suppressAutoHyphens w:val="true"/>
              <w:bidi w:val="0"/>
              <w:spacing w:before="40" w:after="40"/>
              <w:jc w:val="both"/>
              <w:rPr/>
            </w:pPr>
            <w:r>
              <w:rPr/>
              <w:t>TAU</w:t>
            </w:r>
          </w:p>
          <w:p>
            <w:pPr>
              <w:pStyle w:val="Normal"/>
              <w:widowControl/>
              <w:suppressAutoHyphens w:val="true"/>
              <w:bidi w:val="0"/>
              <w:spacing w:before="40" w:after="40"/>
              <w:jc w:val="both"/>
              <w:rPr/>
            </w:pPr>
            <w:r>
              <w:rPr/>
              <w:t>TAU</w:t>
            </w:r>
          </w:p>
        </w:tc>
        <w:tc>
          <w:tcPr>
            <w:tcW w:w="14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pPr>
            <w:r>
              <w:rPr/>
              <w:t>02</w:t>
            </w:r>
            <w:r>
              <w:rPr/>
              <w:t>/</w:t>
            </w:r>
            <w:r>
              <w:rPr/>
              <w:t>01</w:t>
            </w:r>
            <w:r>
              <w:rPr/>
              <w:t>/</w:t>
            </w:r>
            <w:r>
              <w:rPr/>
              <w:t>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CoverTitle"/>
              <w:spacing w:before="120" w:after="120"/>
              <w:jc w:val="left"/>
              <w:rPr/>
            </w:pPr>
            <w:r>
              <w:rPr/>
              <w:t>Edited by</w:t>
            </w:r>
          </w:p>
        </w:tc>
        <w:tc>
          <w:tcPr>
            <w:tcW w:w="48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spacing w:before="40" w:after="40"/>
              <w:jc w:val="left"/>
              <w:rPr/>
            </w:pPr>
            <w:r>
              <w:rPr/>
              <w:t>M</w:t>
            </w:r>
            <w:r>
              <w:rPr/>
              <w:t xml:space="preserve">. </w:t>
            </w:r>
            <w:r>
              <w:rPr/>
              <w:t>Idzik</w:t>
            </w:r>
          </w:p>
        </w:tc>
        <w:tc>
          <w:tcPr>
            <w:tcW w:w="15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pPr>
            <w:r>
              <w:rPr/>
              <w:t>AGH-UST</w:t>
            </w:r>
          </w:p>
        </w:tc>
        <w:tc>
          <w:tcPr>
            <w:tcW w:w="14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pPr>
            <w:r>
              <w:rPr/>
              <w:t>02</w:t>
            </w:r>
            <w:r>
              <w:rPr/>
              <w:t>/</w:t>
            </w:r>
            <w:r>
              <w:rPr/>
              <w:t>01</w:t>
            </w:r>
            <w:r>
              <w:rPr/>
              <w:t>/</w:t>
            </w:r>
            <w:r>
              <w:rPr/>
              <w:t>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CoverTitle"/>
              <w:spacing w:before="120" w:after="120"/>
              <w:jc w:val="left"/>
              <w:rPr/>
            </w:pPr>
            <w:r>
              <w:rPr/>
              <w:t>Reviewed by</w:t>
            </w:r>
          </w:p>
        </w:tc>
        <w:tc>
          <w:tcPr>
            <w:tcW w:w="48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spacing w:before="40" w:after="40"/>
              <w:jc w:val="left"/>
              <w:rPr>
                <w:highlight w:val="cyan"/>
              </w:rPr>
            </w:pPr>
            <w:r>
              <w:rPr/>
              <w:t>I. Surname [Task coordinator]</w:t>
            </w:r>
          </w:p>
          <w:p>
            <w:pPr>
              <w:pStyle w:val="Normal"/>
              <w:jc w:val="left"/>
              <w:rPr>
                <w:highlight w:val="cyan"/>
              </w:rPr>
            </w:pPr>
            <w:r>
              <w:rPr/>
              <w:t>I. Surname [WP coordinator]</w:t>
            </w:r>
          </w:p>
          <w:p>
            <w:pPr>
              <w:pStyle w:val="Normal"/>
              <w:spacing w:before="40" w:after="40"/>
              <w:jc w:val="left"/>
              <w:rPr>
                <w:highlight w:val="cyan"/>
              </w:rPr>
            </w:pPr>
            <w:r>
              <w:rPr/>
              <w:t>I. Surname [Scientific coordinator]</w:t>
            </w:r>
          </w:p>
        </w:tc>
        <w:tc>
          <w:tcPr>
            <w:tcW w:w="15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highlight w:val="cyan"/>
              </w:rPr>
            </w:pPr>
            <w:r>
              <w:rPr/>
              <w:t>[Short name]</w:t>
            </w:r>
          </w:p>
          <w:p>
            <w:pPr>
              <w:pStyle w:val="Normal"/>
              <w:rPr>
                <w:highlight w:val="cyan"/>
              </w:rPr>
            </w:pPr>
            <w:r>
              <w:rPr/>
              <w:t>[Short name]</w:t>
            </w:r>
          </w:p>
          <w:p>
            <w:pPr>
              <w:pStyle w:val="Normal"/>
              <w:widowControl/>
              <w:suppressAutoHyphens w:val="true"/>
              <w:bidi w:val="0"/>
              <w:spacing w:before="40" w:after="40"/>
              <w:jc w:val="both"/>
              <w:rPr>
                <w:highlight w:val="cyan"/>
              </w:rPr>
            </w:pPr>
            <w:r>
              <w:rPr/>
              <w:t>[Short name]</w:t>
            </w:r>
          </w:p>
        </w:tc>
        <w:tc>
          <w:tcPr>
            <w:tcW w:w="14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highlight w:val="cyan"/>
              </w:rPr>
            </w:pPr>
            <w:r>
              <w:rPr/>
              <w:t>dd/mm/yy</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CoverTitle"/>
              <w:spacing w:before="120" w:after="120"/>
              <w:jc w:val="left"/>
              <w:rPr/>
            </w:pPr>
            <w:r>
              <w:rPr/>
              <w:t>Approved by</w:t>
            </w:r>
          </w:p>
        </w:tc>
        <w:tc>
          <w:tcPr>
            <w:tcW w:w="48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spacing w:before="40" w:after="40"/>
              <w:jc w:val="left"/>
              <w:rPr/>
            </w:pPr>
            <w:r>
              <w:rPr/>
              <w:t>I. Surname [Scientific coordinator]</w:t>
            </w:r>
          </w:p>
          <w:p>
            <w:pPr>
              <w:pStyle w:val="Normal"/>
              <w:spacing w:before="40" w:after="40"/>
              <w:jc w:val="left"/>
              <w:rPr/>
            </w:pPr>
            <w:r>
              <w:rPr/>
              <w:t>Steering Committee</w:t>
            </w:r>
          </w:p>
        </w:tc>
        <w:tc>
          <w:tcPr>
            <w:tcW w:w="15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pct10"/>
            <w:tcMar>
              <w:left w:w="60" w:type="dxa"/>
            </w:tcMar>
            <w:vAlign w:val="center"/>
          </w:tcPr>
          <w:p>
            <w:pPr>
              <w:pStyle w:val="Normal"/>
              <w:widowControl/>
              <w:suppressAutoHyphens w:val="true"/>
              <w:bidi w:val="0"/>
              <w:spacing w:before="40" w:after="40"/>
              <w:jc w:val="both"/>
              <w:rPr/>
            </w:pPr>
            <w:r>
              <w:rPr/>
            </w:r>
          </w:p>
        </w:tc>
        <w:tc>
          <w:tcPr>
            <w:tcW w:w="14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60" w:type="dxa"/>
            </w:tcMar>
            <w:vAlign w:val="center"/>
          </w:tcPr>
          <w:p>
            <w:pPr>
              <w:pStyle w:val="Normal"/>
              <w:widowControl/>
              <w:suppressAutoHyphens w:val="true"/>
              <w:bidi w:val="0"/>
              <w:spacing w:before="40" w:after="40"/>
              <w:jc w:val="both"/>
              <w:rPr/>
            </w:pPr>
            <w:r>
              <w:rPr/>
              <w:t>dd/mm/yy</w:t>
            </w:r>
          </w:p>
        </w:tc>
      </w:tr>
    </w:tbl>
    <w:p>
      <w:pPr>
        <w:pStyle w:val="Normal"/>
        <w:rPr/>
      </w:pPr>
      <w:r>
        <w:rPr/>
      </w:r>
      <w:r>
        <w:br w:type="page"/>
      </w:r>
    </w:p>
    <w:p>
      <w:pPr>
        <w:pStyle w:val="CenteredTitle"/>
        <w:rPr/>
      </w:pPr>
      <w:r>
        <w:rPr/>
        <w:t>TABLE OF CONTENTS</w:t>
      </w:r>
    </w:p>
    <w:p>
      <w:pPr>
        <w:pStyle w:val="Contents1"/>
        <w:tabs>
          <w:tab w:val="left" w:pos="440" w:leader="none"/>
          <w:tab w:val="right" w:pos="9062" w:leader="dot"/>
          <w:tab w:val="right" w:pos="9638" w:leader="dot"/>
        </w:tabs>
        <w:rPr/>
      </w:pPr>
      <w:r>
        <w:fldChar w:fldCharType="begin"/>
      </w:r>
      <w:r>
        <w:instrText> TOC \o "1-3" \h</w:instrText>
      </w:r>
      <w:r>
        <w:fldChar w:fldCharType="separate"/>
      </w:r>
      <w:r>
        <w:rPr/>
        <w:t>1.</w:t>
      </w:r>
      <w:r>
        <w:rPr>
          <w:b w:val="false"/>
          <w:caps w:val="false"/>
          <w:smallCaps w:val="false"/>
          <w:sz w:val="24"/>
          <w:szCs w:val="24"/>
          <w:lang w:val="en-US" w:eastAsia="en-US"/>
        </w:rPr>
        <w:tab/>
      </w:r>
      <w:r>
        <w:rPr/>
        <w:t>Introduction</w:t>
        <w:tab/>
      </w:r>
      <w:r>
        <w:rPr/>
        <w:t>4</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Development of thin sensor layers</w:t>
      </w:r>
      <w:r>
        <w:rPr/>
        <w:tab/>
      </w:r>
      <w:r>
        <w:rPr/>
        <w:t>5</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tungsten absorber plates</w:t>
      </w:r>
      <w:r>
        <w:rPr/>
        <w:tab/>
      </w:r>
      <w:r>
        <w:rPr/>
        <w:t>6</w:t>
      </w:r>
    </w:p>
    <w:p>
      <w:pPr>
        <w:pStyle w:val="Contents1"/>
        <w:tabs>
          <w:tab w:val="left" w:pos="440" w:leader="none"/>
          <w:tab w:val="right" w:pos="9062" w:leader="dot"/>
          <w:tab w:val="right" w:pos="9638" w:leader="dot"/>
        </w:tabs>
        <w:rPr/>
      </w:pPr>
      <w:r>
        <w:rPr/>
        <w:t>4</w:t>
      </w:r>
      <w:r>
        <w:rPr/>
        <w:t>.</w:t>
      </w:r>
      <w:r>
        <w:rPr>
          <w:b w:val="false"/>
          <w:caps w:val="false"/>
          <w:smallCaps w:val="false"/>
          <w:sz w:val="24"/>
          <w:szCs w:val="24"/>
          <w:lang w:val="en-US" w:eastAsia="en-US"/>
        </w:rPr>
        <w:tab/>
      </w:r>
      <w:r>
        <w:rPr/>
        <w:t>dedicated readout electronics</w:t>
      </w:r>
      <w:r>
        <w:rPr/>
        <w:tab/>
      </w:r>
      <w:r>
        <w:rPr/>
        <w:t>7</w:t>
      </w:r>
    </w:p>
    <w:p>
      <w:pPr>
        <w:pStyle w:val="Contents1"/>
        <w:tabs>
          <w:tab w:val="left" w:pos="440" w:leader="none"/>
          <w:tab w:val="right" w:pos="9062" w:leader="dot"/>
          <w:tab w:val="right" w:pos="9638" w:leader="dot"/>
        </w:tabs>
        <w:rPr/>
      </w:pPr>
      <w:r>
        <w:rPr/>
        <w:t>5.</w:t>
      </w:r>
      <w:r>
        <w:rPr>
          <w:b w:val="false"/>
          <w:caps w:val="false"/>
          <w:smallCaps w:val="false"/>
          <w:sz w:val="24"/>
          <w:szCs w:val="24"/>
          <w:lang w:val="en-US" w:eastAsia="en-US"/>
        </w:rPr>
        <w:tab/>
      </w:r>
      <w:r>
        <w:rPr/>
        <w:t>construction of calorimeter and beam test set-up</w:t>
        <w:tab/>
        <w:t>10</w:t>
      </w:r>
    </w:p>
    <w:p>
      <w:pPr>
        <w:pStyle w:val="Contents1"/>
        <w:tabs>
          <w:tab w:val="left" w:pos="440" w:leader="none"/>
          <w:tab w:val="right" w:pos="9062" w:leader="dot"/>
          <w:tab w:val="right" w:pos="9638" w:leader="dot"/>
        </w:tabs>
        <w:rPr/>
      </w:pPr>
      <w:r>
        <w:rPr/>
        <w:t>6</w:t>
      </w:r>
      <w:r>
        <w:rPr/>
        <w:t>.</w:t>
      </w:r>
      <w:r>
        <w:rPr>
          <w:b w:val="false"/>
          <w:caps w:val="false"/>
          <w:smallCaps w:val="false"/>
          <w:sz w:val="24"/>
          <w:szCs w:val="24"/>
          <w:lang w:val="en-US" w:eastAsia="en-US"/>
        </w:rPr>
        <w:tab/>
      </w:r>
      <w:r>
        <w:rPr/>
        <w:t>validation at beamtests</w:t>
      </w:r>
      <w:r>
        <w:rPr/>
        <w:tab/>
      </w:r>
      <w:r>
        <w:rPr/>
        <w:t>11</w:t>
      </w:r>
    </w:p>
    <w:p>
      <w:pPr>
        <w:pStyle w:val="Contents1"/>
        <w:tabs>
          <w:tab w:val="left" w:pos="440" w:leader="none"/>
          <w:tab w:val="right" w:pos="9062" w:leader="dot"/>
          <w:tab w:val="right" w:pos="9638" w:leader="dot"/>
        </w:tabs>
        <w:rPr/>
      </w:pPr>
      <w:r>
        <w:rPr/>
        <w:t>7</w:t>
      </w:r>
      <w:r>
        <w:rPr/>
        <w:t>.</w:t>
      </w:r>
      <w:r>
        <w:rPr>
          <w:b w:val="false"/>
          <w:caps w:val="false"/>
          <w:smallCaps w:val="false"/>
          <w:sz w:val="24"/>
          <w:szCs w:val="24"/>
          <w:lang w:val="en-US" w:eastAsia="en-US"/>
        </w:rPr>
        <w:tab/>
      </w:r>
      <w:r>
        <w:rPr/>
        <w:t>FUTURE PLANS / Conclusion / relation to other AIDA work</w:t>
        <w:tab/>
      </w:r>
      <w:r>
        <w:rPr/>
        <w:t>12</w:t>
      </w:r>
    </w:p>
    <w:p>
      <w:pPr>
        <w:pStyle w:val="Contents1"/>
        <w:tabs>
          <w:tab w:val="left" w:pos="440" w:leader="none"/>
          <w:tab w:val="right" w:pos="9062" w:leader="dot"/>
          <w:tab w:val="right" w:pos="9638" w:leader="dot"/>
        </w:tabs>
        <w:rPr/>
      </w:pPr>
      <w:r>
        <w:rPr>
          <w:lang w:eastAsia="en-US"/>
        </w:rPr>
        <w:t>8</w:t>
      </w:r>
      <w:r>
        <w:rPr>
          <w:lang w:eastAsia="en-US"/>
        </w:rPr>
        <w:t>.</w:t>
      </w:r>
      <w:r>
        <w:rPr>
          <w:b w:val="false"/>
          <w:caps w:val="false"/>
          <w:smallCaps w:val="false"/>
          <w:sz w:val="24"/>
          <w:szCs w:val="24"/>
          <w:lang w:val="en-US" w:eastAsia="en-US"/>
        </w:rPr>
        <w:tab/>
      </w:r>
      <w:r>
        <w:rPr>
          <w:lang w:eastAsia="en-US"/>
        </w:rPr>
        <w:t>References</w:t>
      </w:r>
      <w:r>
        <w:rPr/>
        <w:tab/>
      </w:r>
      <w:r>
        <w:rPr/>
        <w:t>13</w:t>
      </w:r>
    </w:p>
    <w:p>
      <w:pPr>
        <w:pStyle w:val="Contents1"/>
        <w:tabs>
          <w:tab w:val="left" w:pos="440" w:leader="none"/>
          <w:tab w:val="right" w:pos="9062" w:leader="dot"/>
          <w:tab w:val="right" w:pos="9638" w:leader="dot"/>
        </w:tabs>
        <w:rPr/>
      </w:pPr>
      <w:r>
        <w:rPr>
          <w:lang w:eastAsia="en-US"/>
        </w:rPr>
        <w:t>Annex: Glossary</w:t>
      </w:r>
      <w:r>
        <w:rPr/>
        <w:tab/>
        <w:t>1</w:t>
      </w:r>
      <w:r>
        <w:rPr/>
        <w:t>4</w:t>
      </w:r>
    </w:p>
    <w:p>
      <w:pPr>
        <w:pStyle w:val="Normal"/>
        <w:tabs>
          <w:tab w:val="right" w:pos="9638" w:leader="dot"/>
        </w:tabs>
        <w:rPr/>
      </w:pPr>
      <w:bookmarkStart w:id="2" w:name="_Toc413639805"/>
      <w:bookmarkStart w:id="3" w:name="_Toc127000554"/>
      <w:bookmarkStart w:id="4" w:name="_Toc127000574"/>
      <w:bookmarkStart w:id="5" w:name="_Toc127001197"/>
      <w:bookmarkStart w:id="6" w:name="_Toc127761644"/>
      <w:bookmarkStart w:id="7" w:name="_Toc127001214"/>
      <w:bookmarkStart w:id="8" w:name="_Toc127761663"/>
      <w:bookmarkStart w:id="9" w:name="_Toc4820881961"/>
      <w:bookmarkEnd w:id="3"/>
      <w:bookmarkEnd w:id="4"/>
      <w:bookmarkEnd w:id="5"/>
      <w:bookmarkEnd w:id="6"/>
      <w:bookmarkEnd w:id="7"/>
      <w:bookmarkEnd w:id="8"/>
      <w:bookmarkEnd w:id="9"/>
      <w:r>
        <w:rPr/>
        <w:t xml:space="preserve"> </w:t>
      </w:r>
      <w:r>
        <w:fldChar w:fldCharType="end"/>
      </w:r>
    </w:p>
    <w:p>
      <w:pPr>
        <w:pStyle w:val="Normal"/>
        <w:rPr/>
      </w:pPr>
      <w:r>
        <w:rPr/>
        <w:t xml:space="preserve"> </w:t>
      </w:r>
    </w:p>
    <w:p>
      <w:pPr>
        <w:pStyle w:val="Normal"/>
        <w:rPr/>
      </w:pPr>
      <w:r>
        <w:rPr/>
      </w:r>
    </w:p>
    <w:p>
      <w:pPr>
        <w:pStyle w:val="Normal"/>
        <w:rPr/>
      </w:pPr>
      <w:r>
        <w:rPr/>
        <w:t xml:space="preserve"> </w:t>
      </w:r>
      <w:r>
        <w:br w:type="page"/>
      </w:r>
    </w:p>
    <w:p>
      <w:pPr>
        <w:pStyle w:val="Normal"/>
        <w:rPr/>
      </w:pPr>
      <w:bookmarkStart w:id="10" w:name="_Toc127001215"/>
      <w:bookmarkStart w:id="11" w:name="_Toc130697442"/>
      <w:bookmarkEnd w:id="10"/>
      <w:bookmarkEnd w:id="11"/>
      <w:r>
        <w:rPr/>
        <w:t>Executive summary</w:t>
      </w:r>
    </w:p>
    <w:p>
      <w:pPr>
        <w:pStyle w:val="Normal"/>
        <w:pBdr>
          <w:top w:val="single" w:sz="4" w:space="1" w:color="00000A"/>
          <w:left w:val="single" w:sz="4" w:space="4" w:color="00000A"/>
          <w:bottom w:val="single" w:sz="4" w:space="1" w:color="00000A"/>
          <w:right w:val="single" w:sz="4" w:space="4" w:color="00000A"/>
        </w:pBdr>
        <w:rPr/>
      </w:pPr>
      <w:bookmarkStart w:id="12" w:name="_Toc127001217"/>
      <w:bookmarkStart w:id="13" w:name="_Toc130697443"/>
      <w:r>
        <w:rPr>
          <w:i/>
          <w:lang w:eastAsia="en-US"/>
        </w:rPr>
        <w:t xml:space="preserve">A compact precise calorimeter is needed for luminosity measurement in forward region of future linear collider like ILC or CLIC. </w:t>
      </w:r>
      <w:r>
        <w:rPr>
          <w:i/>
          <w:lang w:eastAsia="en-US"/>
        </w:rPr>
        <w:t>Witin the AIDA-2020 project a</w:t>
      </w:r>
      <w:r>
        <w:rPr>
          <w:i/>
          <w:lang w:eastAsia="en-US"/>
        </w:rPr>
        <w:t xml:space="preserve"> multi-layer demonstrator of such calorimeter was developed and tested on beams. The main compone</w:t>
      </w:r>
      <w:r>
        <w:rPr>
          <w:i/>
          <w:lang w:eastAsia="en-US"/>
        </w:rPr>
        <w:t>n</w:t>
      </w:r>
      <w:r>
        <w:rPr>
          <w:i/>
          <w:lang w:eastAsia="en-US"/>
        </w:rPr>
        <w:t>ts of the demonstrator are: thin sensor layers, precise thin absorber plates, and dedicated compact readout electronics.</w:t>
      </w:r>
    </w:p>
    <w:p>
      <w:pPr>
        <w:pStyle w:val="Normal"/>
        <w:pBdr>
          <w:top w:val="single" w:sz="4" w:space="1" w:color="00000A"/>
          <w:left w:val="single" w:sz="4" w:space="4" w:color="00000A"/>
          <w:bottom w:val="single" w:sz="4" w:space="1" w:color="00000A"/>
          <w:right w:val="single" w:sz="4" w:space="4" w:color="00000A"/>
        </w:pBdr>
        <w:rPr/>
      </w:pPr>
      <w:r>
        <w:rPr>
          <w:i/>
          <w:lang w:eastAsia="en-US"/>
        </w:rPr>
        <w:t>Th</w:t>
      </w:r>
      <w:r>
        <w:rPr>
          <w:i/>
          <w:lang w:eastAsia="en-US"/>
        </w:rPr>
        <w:t>e</w:t>
      </w:r>
      <w:r>
        <w:rPr>
          <w:i/>
          <w:lang w:eastAsia="en-US"/>
        </w:rPr>
        <w:t xml:space="preserve"> sensor layers were developed on the basis of existing </w:t>
      </w:r>
      <w:r>
        <w:rPr>
          <w:i/>
          <w:lang w:eastAsia="en-US"/>
        </w:rPr>
        <w:t>320 um thick</w:t>
      </w:r>
      <w:r>
        <w:rPr>
          <w:i/>
          <w:lang w:eastAsia="en-US"/>
        </w:rPr>
        <w:t xml:space="preserve"> silicon sensors. Thin carbon support was developed and thin Kapton fan</w:t>
      </w:r>
      <w:r>
        <w:rPr>
          <w:i/>
          <w:lang w:eastAsia="en-US"/>
        </w:rPr>
        <w:t>-</w:t>
      </w:r>
      <w:r>
        <w:rPr>
          <w:i/>
          <w:lang w:eastAsia="en-US"/>
        </w:rPr>
        <w:t xml:space="preserve">outs were designed and fabricated </w:t>
      </w:r>
      <w:r>
        <w:rPr>
          <w:i/>
          <w:lang w:eastAsia="en-US"/>
        </w:rPr>
        <w:t xml:space="preserve">to connect electrically the sensor to the readout. In total, the </w:t>
      </w:r>
      <w:r>
        <w:rPr>
          <w:i/>
          <w:lang w:eastAsia="en-US"/>
        </w:rPr>
        <w:t>complete</w:t>
      </w:r>
      <w:r>
        <w:rPr>
          <w:i/>
          <w:lang w:eastAsia="en-US"/>
        </w:rPr>
        <w:t xml:space="preserve"> sensor layer has 650 um thic</w:t>
      </w:r>
      <w:r>
        <w:rPr>
          <w:i/>
          <w:lang w:eastAsia="en-US"/>
        </w:rPr>
        <w:t>k</w:t>
      </w:r>
      <w:r>
        <w:rPr>
          <w:i/>
          <w:lang w:eastAsia="en-US"/>
        </w:rPr>
        <w:t>ness.</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Precise thin tungsten absorber plates were developed and produced and </w:t>
      </w:r>
      <w:r>
        <w:rPr>
          <w:i/>
          <w:lang w:eastAsia="en-US"/>
        </w:rPr>
        <w:t>the required</w:t>
      </w:r>
      <w:r>
        <w:rPr>
          <w:i/>
          <w:lang w:eastAsia="en-US"/>
        </w:rPr>
        <w:t xml:space="preserve"> flatness of the plates was verified </w:t>
      </w:r>
      <w:r>
        <w:rPr>
          <w:i/>
          <w:lang w:eastAsia="en-US"/>
        </w:rPr>
        <w:t>by</w:t>
      </w:r>
      <w:r>
        <w:rPr>
          <w:i/>
          <w:lang w:eastAsia="en-US"/>
        </w:rPr>
        <w:t xml:space="preserve"> metrology measurements.</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Dedicated ultra-low power 32-channel ASIC called FLAME was developed and produced as the core of the </w:t>
      </w:r>
      <w:r>
        <w:rPr>
          <w:i/>
          <w:lang w:eastAsia="en-US"/>
        </w:rPr>
        <w:t>calorimeter</w:t>
      </w:r>
      <w:r>
        <w:rPr>
          <w:i/>
          <w:lang w:eastAsia="en-US"/>
        </w:rPr>
        <w:t xml:space="preserve"> readout system. FLAME contains an analog front-end and </w:t>
      </w:r>
      <w:r>
        <w:rPr>
          <w:i/>
          <w:lang w:eastAsia="en-US"/>
        </w:rPr>
        <w:t>fast</w:t>
      </w:r>
      <w:r>
        <w:rPr>
          <w:i/>
          <w:lang w:eastAsia="en-US"/>
        </w:rPr>
        <w:t xml:space="preserve"> 10-bit ADC in each channel. The digitized data are serialized and transmitted off the chip by two (1 per 16 channels) fast </w:t>
      </w:r>
      <w:r>
        <w:rPr>
          <w:i/>
          <w:lang w:eastAsia="en-US"/>
        </w:rPr>
        <w:t>data</w:t>
      </w:r>
      <w:r>
        <w:rPr>
          <w:i/>
          <w:lang w:eastAsia="en-US"/>
        </w:rPr>
        <w:t xml:space="preserve"> serializers&amp;transmitters. To complete the readout system a compact PCB holding eight FLAME chips (</w:t>
      </w:r>
      <w:r>
        <w:rPr>
          <w:i/>
          <w:lang w:eastAsia="en-US"/>
        </w:rPr>
        <w:t>to read</w:t>
      </w:r>
      <w:r>
        <w:rPr>
          <w:i/>
          <w:lang w:eastAsia="en-US"/>
        </w:rPr>
        <w:t xml:space="preserve"> 256 sensor channels) was designed and fabricated.</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The demonstrater of a compact calorimeter was built and used in the beamtests to verify its performance. </w:t>
      </w:r>
      <w:r>
        <w:rPr>
          <w:rFonts w:ascii="Times New Roman" w:hAnsi="Times New Roman"/>
          <w:i/>
          <w:color w:val="000000"/>
          <w:sz w:val="24"/>
          <w:szCs w:val="24"/>
          <w:lang w:eastAsia="en-US"/>
        </w:rPr>
        <w:t>The measurement of the effective Moli</w:t>
      </w:r>
      <w:r>
        <w:rPr>
          <w:rFonts w:ascii="Times New Roman" w:hAnsi="Times New Roman"/>
          <w:i/>
          <w:color w:val="000000"/>
          <w:sz w:val="24"/>
          <w:szCs w:val="24"/>
          <w:lang w:eastAsia="en-US"/>
        </w:rPr>
        <w:t>e</w:t>
      </w:r>
      <w:r>
        <w:rPr>
          <w:rFonts w:ascii="Times New Roman" w:hAnsi="Times New Roman"/>
          <w:i/>
          <w:sz w:val="24"/>
          <w:szCs w:val="24"/>
          <w:lang w:eastAsia="en-US"/>
        </w:rPr>
        <w:t>re radius was carried out for energies between 1 and 5 GeV.  The effective Moli</w:t>
      </w:r>
      <w:r>
        <w:rPr>
          <w:rFonts w:ascii="Times New Roman" w:hAnsi="Times New Roman"/>
          <w:i/>
          <w:sz w:val="24"/>
          <w:szCs w:val="24"/>
          <w:lang w:eastAsia="en-US"/>
        </w:rPr>
        <w:t>e</w:t>
      </w:r>
      <w:r>
        <w:rPr>
          <w:rFonts w:ascii="Times New Roman" w:hAnsi="Times New Roman"/>
          <w:i/>
          <w:sz w:val="24"/>
          <w:szCs w:val="24"/>
          <w:lang w:eastAsia="en-US"/>
        </w:rPr>
        <w:t>re radius of 8.1 ± 0.1 mm was measured for 5 GeV energy, confirming excellent calorimeter performance.</w:t>
      </w:r>
    </w:p>
    <w:p>
      <w:pPr>
        <w:pStyle w:val="Heading1"/>
        <w:numPr>
          <w:ilvl w:val="0"/>
          <w:numId w:val="2"/>
        </w:numPr>
        <w:rPr/>
      </w:pPr>
      <w:bookmarkStart w:id="14" w:name="_Toc130697436"/>
      <w:bookmarkStart w:id="15" w:name="_Toc285912668"/>
      <w:bookmarkEnd w:id="14"/>
      <w:bookmarkEnd w:id="15"/>
      <w:r>
        <w:rPr/>
        <w:t>Introduction</w:t>
      </w:r>
    </w:p>
    <w:p>
      <w:pPr>
        <w:pStyle w:val="Normal"/>
        <w:rPr>
          <w:color w:val="131413"/>
          <w:lang w:eastAsia="en-US"/>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color w:val="131413"/>
          <w:sz w:val="24"/>
          <w:szCs w:val="24"/>
          <w:lang w:eastAsia="en-US"/>
        </w:rPr>
        <w:t xml:space="preserve">Forward calorimeters for future electron positron linear collider </w:t>
      </w:r>
      <w:r>
        <w:rPr>
          <w:rFonts w:ascii="Times New Roman" w:hAnsi="Times New Roman"/>
          <w:color w:val="131413"/>
          <w:sz w:val="24"/>
          <w:szCs w:val="24"/>
        </w:rPr>
        <w:t>experiments have challenging requirements on a fast and high precision measurement of the luminosity [</w:t>
      </w:r>
      <w:r>
        <w:rPr>
          <w:rFonts w:ascii="Times New Roman" w:hAnsi="Times New Roman"/>
          <w:color w:val="0000FF"/>
          <w:sz w:val="24"/>
          <w:szCs w:val="24"/>
        </w:rPr>
        <w:t>1</w:t>
      </w:r>
      <w:r>
        <w:rPr>
          <w:rFonts w:ascii="Times New Roman" w:hAnsi="Times New Roman"/>
          <w:color w:val="131413"/>
          <w:sz w:val="24"/>
          <w:szCs w:val="24"/>
        </w:rPr>
        <w:t>], resulting in a stringent set of specifications for highly compact calorimeters. Two such calorimeters, LumiCal and BeamCal, are being considered for installation in the forward region of both International Linear Collider (ILC) [</w:t>
      </w:r>
      <w:r>
        <w:rPr>
          <w:rFonts w:ascii="Times New Roman" w:hAnsi="Times New Roman"/>
          <w:color w:val="0000FF"/>
          <w:sz w:val="24"/>
          <w:szCs w:val="24"/>
        </w:rPr>
        <w:t>1</w:t>
      </w:r>
      <w:r>
        <w:rPr>
          <w:rFonts w:ascii="Times New Roman" w:hAnsi="Times New Roman"/>
          <w:color w:val="131413"/>
          <w:sz w:val="24"/>
          <w:szCs w:val="24"/>
        </w:rPr>
        <w:t>] detectors, ILD and SiD, and also in the Compact Linear Collider (CLIC) detector [</w:t>
      </w:r>
      <w:r>
        <w:rPr>
          <w:rFonts w:ascii="Times New Roman" w:hAnsi="Times New Roman"/>
          <w:color w:val="0000FF"/>
          <w:sz w:val="24"/>
          <w:szCs w:val="24"/>
        </w:rPr>
        <w:t>2</w:t>
      </w:r>
      <w:r>
        <w:rPr>
          <w:rFonts w:ascii="Times New Roman" w:hAnsi="Times New Roman"/>
          <w:color w:val="131413"/>
          <w:sz w:val="24"/>
          <w:szCs w:val="24"/>
        </w:rPr>
        <w:t>]. The precise measurement of the integrated luminosity is provided by the LumiCal detector. BeamCal is designed for instant luminosity measurement and beam-tuning when included in a fast feedback system as well as for tagging beam particles scattered through low angles. Both detectors extend the capabilities of the e</w:t>
      </w:r>
      <w:r>
        <w:rPr>
          <w:rFonts w:ascii="Times New Roman" w:hAnsi="Times New Roman"/>
          <w:color w:val="131413"/>
          <w:sz w:val="24"/>
          <w:szCs w:val="24"/>
        </w:rPr>
        <w:t>xperiments for physics studies in the high rapidity region.</w:t>
      </w:r>
    </w:p>
    <w:p>
      <w:pPr>
        <w:pStyle w:val="Normal"/>
        <w:rPr>
          <w:rFonts w:ascii="Times New Roman" w:hAnsi="Times New Roman"/>
          <w:sz w:val="24"/>
          <w:szCs w:val="24"/>
        </w:rPr>
      </w:pPr>
      <w:r>
        <w:rPr>
          <w:rFonts w:ascii="Times New Roman" w:hAnsi="Times New Roman"/>
          <w:color w:val="131413"/>
          <w:sz w:val="24"/>
          <w:szCs w:val="24"/>
        </w:rPr>
        <w:t>W</w:t>
      </w:r>
      <w:r>
        <w:rPr>
          <w:rFonts w:ascii="Times New Roman" w:hAnsi="Times New Roman"/>
          <w:color w:val="131413"/>
          <w:sz w:val="24"/>
          <w:szCs w:val="24"/>
        </w:rPr>
        <w:t xml:space="preserve">ithin the AIDA-2020 project a demonstrater of a very compact tungsten based calorimeter was developed </w:t>
      </w:r>
      <w:r>
        <w:rPr>
          <w:rFonts w:ascii="Times New Roman" w:hAnsi="Times New Roman"/>
          <w:color w:val="131413"/>
          <w:sz w:val="24"/>
          <w:szCs w:val="24"/>
        </w:rPr>
        <w:t>and</w:t>
      </w:r>
      <w:r>
        <w:rPr>
          <w:rFonts w:ascii="Times New Roman" w:hAnsi="Times New Roman"/>
          <w:color w:val="131413"/>
          <w:sz w:val="24"/>
          <w:szCs w:val="24"/>
        </w:rPr>
        <w:t xml:space="preserve"> verif</w:t>
      </w:r>
      <w:r>
        <w:rPr>
          <w:rFonts w:ascii="Times New Roman" w:hAnsi="Times New Roman"/>
          <w:color w:val="131413"/>
          <w:sz w:val="24"/>
          <w:szCs w:val="24"/>
        </w:rPr>
        <w:t xml:space="preserve">ied in beamtests to check its performance </w:t>
      </w:r>
      <w:r>
        <w:rPr>
          <w:rFonts w:ascii="Times New Roman" w:hAnsi="Times New Roman"/>
          <w:color w:val="131413"/>
          <w:sz w:val="24"/>
          <w:szCs w:val="24"/>
        </w:rPr>
        <w:t>in experimental conditions</w:t>
      </w:r>
      <w:r>
        <w:rPr>
          <w:rFonts w:ascii="Times New Roman" w:hAnsi="Times New Roman"/>
          <w:color w:val="131413"/>
          <w:sz w:val="24"/>
          <w:szCs w:val="24"/>
        </w:rPr>
        <w:t>. The main developed components of the calorimeter are: thin (&lt;1mm) sensor layers, precise thin (&lt;=3.5mm) tungsten plates, and compact readout boards with dedicated readout ASICs. The performance of this calorimeter,  in particular its compactnes</w:t>
      </w:r>
      <w:r>
        <w:rPr>
          <w:rFonts w:ascii="Times New Roman" w:hAnsi="Times New Roman"/>
          <w:color w:val="131413"/>
          <w:sz w:val="24"/>
          <w:szCs w:val="24"/>
        </w:rPr>
        <w:t>s</w:t>
      </w:r>
      <w:r>
        <w:rPr>
          <w:rFonts w:ascii="Times New Roman" w:hAnsi="Times New Roman"/>
          <w:color w:val="131413"/>
          <w:sz w:val="24"/>
          <w:szCs w:val="24"/>
        </w:rPr>
        <w:t xml:space="preserve">, reflected by small Moliere radius, was verified on the beam at different development stages. It was </w:t>
      </w:r>
      <w:r>
        <w:rPr>
          <w:rFonts w:ascii="Times New Roman" w:hAnsi="Times New Roman"/>
          <w:color w:val="131413"/>
          <w:sz w:val="24"/>
          <w:szCs w:val="24"/>
        </w:rPr>
        <w:t>measured that with the developed thin detector planes the effective Moliere radius could be largely reduced from 24 mm down to 8.</w:t>
      </w:r>
      <w:r>
        <w:rPr>
          <w:rFonts w:ascii="Times New Roman" w:hAnsi="Times New Roman"/>
          <w:color w:val="131413"/>
          <w:sz w:val="24"/>
          <w:szCs w:val="24"/>
        </w:rPr>
        <w:t>1</w:t>
      </w:r>
      <w:r>
        <w:rPr>
          <w:rFonts w:ascii="Times New Roman" w:hAnsi="Times New Roman"/>
          <w:color w:val="131413"/>
          <w:sz w:val="24"/>
          <w:szCs w:val="24"/>
        </w:rPr>
        <w:t xml:space="preserve"> mm.</w:t>
      </w:r>
      <w:r>
        <w:br w:type="page"/>
      </w:r>
    </w:p>
    <w:p>
      <w:pPr>
        <w:pStyle w:val="Heading1"/>
        <w:numPr>
          <w:ilvl w:val="0"/>
          <w:numId w:val="2"/>
        </w:numPr>
        <w:rPr/>
      </w:pPr>
      <w:bookmarkStart w:id="16" w:name="_Toc285912669"/>
      <w:bookmarkEnd w:id="16"/>
      <w:r>
        <w:rPr/>
        <w:t xml:space="preserve">Development of thin sensor </w:t>
      </w:r>
      <w:r>
        <w:rPr/>
        <w:t>layers</w:t>
      </w:r>
    </w:p>
    <w:p>
      <w:pPr>
        <w:pStyle w:val="Normal"/>
        <w:rPr>
          <w:rFonts w:ascii="Times-Roman" w:hAnsi="Times-Roman"/>
          <w:color w:val="131413"/>
          <w:sz w:val="20"/>
        </w:rPr>
      </w:pPr>
      <w:r>
        <w:rPr/>
      </w:r>
    </w:p>
    <w:p>
      <w:pPr>
        <w:pStyle w:val="Normal"/>
        <w:rPr>
          <w:rFonts w:ascii="Times New Roman" w:hAnsi="Times New Roman"/>
          <w:sz w:val="24"/>
          <w:szCs w:val="24"/>
        </w:rPr>
      </w:pPr>
      <w:r>
        <w:rPr>
          <w:rFonts w:ascii="Times New Roman" w:hAnsi="Times New Roman"/>
          <w:color w:val="131413"/>
          <w:sz w:val="24"/>
          <w:szCs w:val="24"/>
        </w:rPr>
        <w:t xml:space="preserve">The design of a LumiCal sensor was optimised in simulations to provide the required resolution of the polar angle reconstruction. A picture of a sensor is shown in Fig. </w:t>
      </w:r>
      <w:r>
        <w:rPr>
          <w:rFonts w:ascii="Times New Roman" w:hAnsi="Times New Roman"/>
          <w:color w:val="0000FF"/>
          <w:sz w:val="24"/>
          <w:szCs w:val="24"/>
        </w:rPr>
        <w:t>1</w:t>
      </w:r>
      <w:r>
        <w:rPr>
          <w:rFonts w:ascii="Times New Roman" w:hAnsi="Times New Roman"/>
          <w:color w:val="131413"/>
          <w:sz w:val="24"/>
          <w:szCs w:val="24"/>
        </w:rPr>
        <w:t>. The senso</w:t>
      </w:r>
      <w:r>
        <w:rPr>
          <w:rFonts w:ascii="Times New Roman" w:hAnsi="Times New Roman"/>
          <w:color w:val="131413"/>
          <w:sz w:val="24"/>
          <w:szCs w:val="24"/>
        </w:rPr>
        <w:t xml:space="preserve">r </w:t>
      </w:r>
      <w:r>
        <w:rPr>
          <w:rFonts w:ascii="Times New Roman" w:hAnsi="Times New Roman"/>
          <w:color w:val="131413"/>
          <w:sz w:val="24"/>
          <w:szCs w:val="24"/>
        </w:rPr>
        <w:t>is made of a 320 μm thick high resistivity n-type silicon wafer. It has the shape of a sector of a 30</w:t>
      </w:r>
      <w:r>
        <w:rPr>
          <w:rFonts w:ascii="Times New Roman" w:hAnsi="Times New Roman"/>
          <w:color w:val="131413"/>
          <w:sz w:val="24"/>
          <w:szCs w:val="24"/>
          <w:vertAlign w:val="superscript"/>
        </w:rPr>
        <w:t>◦</w:t>
      </w:r>
      <w:r>
        <w:rPr>
          <w:rFonts w:ascii="Times New Roman" w:hAnsi="Times New Roman"/>
          <w:color w:val="131413"/>
          <w:sz w:val="24"/>
          <w:szCs w:val="24"/>
        </w:rPr>
        <w:t xml:space="preserve"> angle, with inner and outer radii of the sensitive area of 80 mm and 195.2 mm, respectively. It comprises four sectors with 64 p-type pads of 1.8 mm pitch.</w:t>
      </w:r>
    </w:p>
    <w:p>
      <w:pPr>
        <w:pStyle w:val="Normal"/>
        <w:rPr>
          <w:rFonts w:ascii="Times-Roman" w:hAnsi="Times-Roman"/>
          <w:color w:val="131413"/>
          <w:sz w:val="20"/>
        </w:rPr>
      </w:pPr>
      <w:r>
        <w:rPr/>
        <w:drawing>
          <wp:anchor behindDoc="0" distT="0" distB="0" distL="0" distR="0" simplePos="0" locked="0" layoutInCell="1" allowOverlap="1" relativeHeight="2">
            <wp:simplePos x="0" y="0"/>
            <wp:positionH relativeFrom="column">
              <wp:posOffset>302260</wp:posOffset>
            </wp:positionH>
            <wp:positionV relativeFrom="paragraph">
              <wp:posOffset>52705</wp:posOffset>
            </wp:positionV>
            <wp:extent cx="2324100" cy="2276475"/>
            <wp:effectExtent l="0" t="0" r="0" b="0"/>
            <wp:wrapSquare wrapText="largest"/>
            <wp:docPr id="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
                    <pic:cNvPicPr>
                      <a:picLocks noChangeAspect="1" noChangeArrowheads="1"/>
                    </pic:cNvPicPr>
                  </pic:nvPicPr>
                  <pic:blipFill>
                    <a:blip r:embed="rId3"/>
                    <a:stretch>
                      <a:fillRect/>
                    </a:stretch>
                  </pic:blipFill>
                  <pic:spPr bwMode="auto">
                    <a:xfrm>
                      <a:off x="0" y="0"/>
                      <a:ext cx="2324100" cy="2276475"/>
                    </a:xfrm>
                    <a:prstGeom prst="rect">
                      <a:avLst/>
                    </a:prstGeom>
                  </pic:spPr>
                </pic:pic>
              </a:graphicData>
            </a:graphic>
          </wp:anchor>
        </w:drawing>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Caption1"/>
        <w:jc w:val="center"/>
        <w:rPr>
          <w:rFonts w:ascii="Times-Roman" w:hAnsi="Times-Roman"/>
          <w:i/>
          <w:i/>
          <w:iCs/>
          <w:color w:val="131413"/>
          <w:sz w:val="20"/>
          <w:szCs w:val="20"/>
          <w:lang w:eastAsia="en-US"/>
        </w:rPr>
      </w:pPr>
      <w:r>
        <w:rPr/>
      </w:r>
    </w:p>
    <w:p>
      <w:pPr>
        <w:pStyle w:val="Caption1"/>
        <w:jc w:val="center"/>
        <w:rPr>
          <w:rFonts w:ascii="Times New Roman" w:hAnsi="Times New Roman"/>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1</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A LumiCal silicon sensor</w:t>
      </w:r>
    </w:p>
    <w:p>
      <w:pPr>
        <w:pStyle w:val="Normal"/>
        <w:rPr>
          <w:rFonts w:ascii="Times-Roman" w:hAnsi="Times-Roman"/>
          <w:color w:val="131413"/>
          <w:sz w:val="20"/>
        </w:rPr>
      </w:pPr>
      <w:r>
        <w:rPr/>
      </w:r>
    </w:p>
    <w:p>
      <w:pPr>
        <w:pStyle w:val="Normal"/>
        <w:rPr>
          <w:rFonts w:ascii="Times New Roman" w:hAnsi="Times New Roman"/>
          <w:sz w:val="24"/>
          <w:szCs w:val="24"/>
        </w:rPr>
      </w:pPr>
      <w:r>
        <w:rPr>
          <w:rFonts w:ascii="Times New Roman" w:hAnsi="Times New Roman"/>
          <w:color w:val="131413"/>
          <w:sz w:val="24"/>
          <w:szCs w:val="24"/>
        </w:rPr>
        <w:t xml:space="preserve">The properties of the sensor were studied in the lab and </w:t>
      </w:r>
      <w:r>
        <w:rPr>
          <w:rFonts w:ascii="Times New Roman" w:hAnsi="Times New Roman"/>
          <w:color w:val="131413"/>
          <w:sz w:val="24"/>
          <w:szCs w:val="24"/>
        </w:rPr>
        <w:t>beam tests. Results of beam tests and more details about the sensor can be found in Refs. [</w:t>
      </w:r>
      <w:r>
        <w:rPr>
          <w:rFonts w:ascii="Times New Roman" w:hAnsi="Times New Roman"/>
          <w:color w:val="0000FF"/>
          <w:sz w:val="24"/>
          <w:szCs w:val="24"/>
        </w:rPr>
        <w:t>1</w:t>
      </w:r>
      <w:r>
        <w:rPr>
          <w:rFonts w:ascii="Times New Roman" w:hAnsi="Times New Roman"/>
          <w:color w:val="131413"/>
          <w:sz w:val="24"/>
          <w:szCs w:val="24"/>
        </w:rPr>
        <w:t>]. The first prototype of a LumiCal detector plane, which has been successfully used in a multi-layer configuration [</w:t>
      </w:r>
      <w:r>
        <w:rPr>
          <w:rFonts w:ascii="Times New Roman" w:hAnsi="Times New Roman"/>
          <w:color w:val="0000FF"/>
          <w:sz w:val="24"/>
          <w:szCs w:val="24"/>
        </w:rPr>
        <w:t>1,</w:t>
      </w:r>
      <w:r>
        <w:rPr>
          <w:rFonts w:ascii="Times New Roman" w:hAnsi="Times New Roman"/>
          <w:color w:val="0000FF"/>
          <w:sz w:val="24"/>
          <w:szCs w:val="24"/>
        </w:rPr>
        <w:t>2</w:t>
      </w:r>
      <w:r>
        <w:rPr>
          <w:rFonts w:ascii="Times New Roman" w:hAnsi="Times New Roman"/>
          <w:color w:val="131413"/>
          <w:sz w:val="24"/>
          <w:szCs w:val="24"/>
        </w:rPr>
        <w:t>], had a thickness of about 4mm and only 32 pads were connected to the readout electronics.</w:t>
      </w:r>
    </w:p>
    <w:p>
      <w:pPr>
        <w:pStyle w:val="Normal"/>
        <w:rPr>
          <w:rFonts w:ascii="Times-Roman" w:hAnsi="Times-Roman"/>
          <w:color w:val="131413"/>
          <w:sz w:val="20"/>
        </w:rPr>
      </w:pPr>
      <w:r>
        <w:rPr/>
      </w:r>
    </w:p>
    <w:p>
      <w:pPr>
        <w:pStyle w:val="Normal"/>
        <w:rPr>
          <w:rFonts w:ascii="Times-Roman" w:hAnsi="Times-Roman"/>
          <w:color w:val="131413"/>
          <w:sz w:val="20"/>
        </w:rPr>
      </w:pPr>
      <w:r>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2657475" cy="1714500"/>
            <wp:effectExtent l="0" t="0" r="0" b="0"/>
            <wp:wrapSquare wrapText="largest"/>
            <wp:docPr id="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pic:cNvPicPr>
                      <a:picLocks noChangeAspect="1" noChangeArrowheads="1"/>
                    </pic:cNvPicPr>
                  </pic:nvPicPr>
                  <pic:blipFill>
                    <a:blip r:embed="rId4"/>
                    <a:stretch>
                      <a:fillRect/>
                    </a:stretch>
                  </pic:blipFill>
                  <pic:spPr bwMode="auto">
                    <a:xfrm>
                      <a:off x="0" y="0"/>
                      <a:ext cx="2657475" cy="1714500"/>
                    </a:xfrm>
                    <a:prstGeom prst="rect">
                      <a:avLst/>
                    </a:prstGeom>
                  </pic:spPr>
                </pic:pic>
              </a:graphicData>
            </a:graphic>
          </wp:anchor>
        </w:drawing>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Caption1"/>
        <w:jc w:val="center"/>
        <w:rPr>
          <w:rFonts w:ascii="Times New Roman" w:hAnsi="Times New Roman"/>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2</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Detector plane assemby.Total thickness is 650um</w:t>
      </w:r>
    </w:p>
    <w:p>
      <w:pPr>
        <w:pStyle w:val="Normal"/>
        <w:rPr>
          <w:rFonts w:ascii="Times-Roman" w:hAnsi="Times-Roman"/>
          <w:color w:val="131413"/>
          <w:sz w:val="20"/>
        </w:rPr>
      </w:pPr>
      <w:r>
        <w:rPr/>
      </w:r>
    </w:p>
    <w:p>
      <w:pPr>
        <w:pStyle w:val="Normal"/>
        <w:rPr>
          <w:rFonts w:ascii="Times new Roman" w:hAnsi="Times new Roman"/>
          <w:sz w:val="24"/>
          <w:szCs w:val="24"/>
        </w:rPr>
      </w:pPr>
      <w:r>
        <w:rPr>
          <w:rFonts w:ascii="Times new Roman" w:hAnsi="Times new Roman"/>
          <w:color w:val="131413"/>
          <w:sz w:val="24"/>
          <w:szCs w:val="24"/>
        </w:rPr>
        <w:t xml:space="preserve">For the construction of a sub-millimetre detector plane the same silicon sensor </w:t>
      </w:r>
      <w:r>
        <w:rPr>
          <w:rFonts w:ascii="Times new Roman" w:hAnsi="Times new Roman"/>
          <w:color w:val="131413"/>
          <w:sz w:val="24"/>
          <w:szCs w:val="24"/>
        </w:rPr>
        <w:t>is used</w:t>
      </w:r>
      <w:r>
        <w:rPr>
          <w:rFonts w:ascii="Times new Roman" w:hAnsi="Times new Roman"/>
          <w:color w:val="131413"/>
          <w:sz w:val="24"/>
          <w:szCs w:val="24"/>
        </w:rPr>
        <w:t xml:space="preserve">. The bias voltage is supplied to the n-side of the sensor by a 70 μm flexible Kapton–copper foil, glued to the sensor with a conductive glue. The 256 pads of the sensor are connected to the front-end electronics using a fan-out made of 120 μm thick flexibleKapton foil with copper traces. The inner guard ring is grounded. Ultrasonic wire bonding was used to connect conductive traces on the fanout to the sensor pads. A support structure, made of carbon fibre composite with a thickness of 100 μm in the sensor gluing area, provides mechanical stability for the detector plane. Special fixtures were designed and produced to ensure the necessary thickness and uniformity of three glue layers between different components of the detector plane all over the area of the sensor. A sketch of the structure of the detector plane is shown in Fig. </w:t>
      </w:r>
      <w:r>
        <w:rPr>
          <w:rFonts w:ascii="Times new Roman" w:hAnsi="Times new Roman"/>
          <w:color w:val="131413"/>
          <w:sz w:val="24"/>
          <w:szCs w:val="24"/>
        </w:rPr>
        <w:t>2</w:t>
      </w:r>
      <w:r>
        <w:rPr>
          <w:rFonts w:ascii="Times new Roman" w:hAnsi="Times new Roman"/>
          <w:color w:val="0000FF"/>
          <w:sz w:val="24"/>
          <w:szCs w:val="24"/>
        </w:rPr>
        <w:t xml:space="preserve"> </w:t>
      </w:r>
      <w:r>
        <w:rPr>
          <w:rFonts w:ascii="Times new Roman" w:hAnsi="Times new Roman"/>
          <w:color w:val="131413"/>
          <w:sz w:val="24"/>
          <w:szCs w:val="24"/>
        </w:rPr>
        <w:t xml:space="preserve">and a photo of a completed plane in Fig. </w:t>
      </w:r>
      <w:r>
        <w:rPr>
          <w:rFonts w:ascii="Times new Roman" w:hAnsi="Times new Roman"/>
          <w:color w:val="131413"/>
          <w:sz w:val="24"/>
          <w:szCs w:val="24"/>
        </w:rPr>
        <w:t>3</w:t>
      </w:r>
      <w:r>
        <w:rPr>
          <w:rFonts w:ascii="Times new Roman" w:hAnsi="Times new Roman"/>
          <w:color w:val="131413"/>
          <w:sz w:val="24"/>
          <w:szCs w:val="24"/>
        </w:rPr>
        <w:t xml:space="preserve">. </w:t>
      </w:r>
    </w:p>
    <w:p>
      <w:pPr>
        <w:pStyle w:val="Normal"/>
        <w:rPr>
          <w:rFonts w:ascii="Times-Roman" w:hAnsi="Times-Roman"/>
          <w:color w:val="131413"/>
          <w:sz w:val="20"/>
        </w:rPr>
      </w:pPr>
      <w:r>
        <w:rPr/>
      </w:r>
    </w:p>
    <w:p>
      <w:pPr>
        <w:pStyle w:val="Normal"/>
        <w:rPr>
          <w:rFonts w:ascii="Times-Roman" w:hAnsi="Times-Roman"/>
          <w:color w:val="131413"/>
          <w:sz w:val="20"/>
        </w:rPr>
      </w:pPr>
      <w:r>
        <w:rP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2552700" cy="1562100"/>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5"/>
                    <a:stretch>
                      <a:fillRect/>
                    </a:stretch>
                  </pic:blipFill>
                  <pic:spPr bwMode="auto">
                    <a:xfrm>
                      <a:off x="0" y="0"/>
                      <a:ext cx="2552700" cy="1562100"/>
                    </a:xfrm>
                    <a:prstGeom prst="rect">
                      <a:avLst/>
                    </a:prstGeom>
                  </pic:spPr>
                </pic:pic>
              </a:graphicData>
            </a:graphic>
          </wp:anchor>
        </w:drawing>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Normal"/>
        <w:rPr>
          <w:rFonts w:ascii="Times-Roman" w:hAnsi="Times-Roman"/>
          <w:color w:val="131413"/>
          <w:sz w:val="20"/>
        </w:rPr>
      </w:pPr>
      <w:r>
        <w:rPr/>
      </w:r>
    </w:p>
    <w:p>
      <w:pPr>
        <w:pStyle w:val="Caption1"/>
        <w:jc w:val="center"/>
        <w:rPr>
          <w:rFonts w:ascii="Times New Roman" w:hAnsi="Times New Roman"/>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3</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A thin detector plane. The black part is the carbon fibre support, the silicon sensor is covered by the Kapton fan-out</w:t>
      </w:r>
    </w:p>
    <w:p>
      <w:pPr>
        <w:pStyle w:val="Normal"/>
        <w:rPr>
          <w:rFonts w:ascii="Times-Roman" w:hAnsi="Times-Roman"/>
          <w:color w:val="131413"/>
          <w:sz w:val="20"/>
        </w:rPr>
      </w:pPr>
      <w:r>
        <w:rPr/>
      </w:r>
    </w:p>
    <w:p>
      <w:pPr>
        <w:pStyle w:val="Normal"/>
        <w:rPr>
          <w:rFonts w:ascii="Times New Roman" w:hAnsi="Times New Roman"/>
          <w:sz w:val="24"/>
          <w:szCs w:val="24"/>
        </w:rPr>
      </w:pPr>
      <w:r>
        <w:rPr>
          <w:rFonts w:ascii="Times New Roman" w:hAnsi="Times New Roman"/>
          <w:color w:val="131413"/>
          <w:sz w:val="24"/>
          <w:szCs w:val="24"/>
        </w:rPr>
        <w:t>The ultrasonic wire bonding proved to provide good electrical performance, but for a detector plane thinner than 1mm, the wire loops, which are typically 100–200 μm high, cause a serious problem when the plane needs to be installed in a 1 mm gap between absorber plates. The parameters of the bonding machine were studied and tuned to make the loop as low as possible and technically acceptable. The sampling based measurements, which were done using a con-focal laser scanning microscope, show that the loop height is in the range from 50 to 100 μm.</w:t>
      </w:r>
    </w:p>
    <w:p>
      <w:pPr>
        <w:pStyle w:val="Heading1"/>
        <w:numPr>
          <w:ilvl w:val="0"/>
          <w:numId w:val="2"/>
        </w:numPr>
        <w:rPr/>
      </w:pPr>
      <w:r>
        <w:rPr/>
        <w:t xml:space="preserve">Tungsten absorber </w:t>
      </w:r>
      <w:r>
        <w:rPr/>
        <w:t>plates</w:t>
      </w:r>
    </w:p>
    <w:p>
      <w:pPr>
        <w:pStyle w:val="Normal"/>
        <w:rPr/>
      </w:pPr>
      <w:r>
        <w:rPr/>
      </w:r>
    </w:p>
    <w:p>
      <w:pPr>
        <w:pStyle w:val="Normal"/>
        <w:rPr>
          <w:rFonts w:ascii="Times New Roman" w:hAnsi="Times New Roman"/>
          <w:sz w:val="24"/>
          <w:szCs w:val="24"/>
        </w:rPr>
      </w:pPr>
      <w:r>
        <w:rPr>
          <w:rFonts w:ascii="Times New Roman" w:hAnsi="Times New Roman"/>
          <w:color w:val="131413"/>
          <w:sz w:val="24"/>
          <w:szCs w:val="24"/>
        </w:rPr>
        <w:t>In the first multi</w:t>
      </w:r>
      <w:r>
        <w:rPr>
          <w:rFonts w:ascii="Times New Roman" w:hAnsi="Times New Roman"/>
          <w:color w:val="131413"/>
          <w:sz w:val="24"/>
          <w:szCs w:val="24"/>
        </w:rPr>
        <w:t>-</w:t>
      </w:r>
      <w:r>
        <w:rPr>
          <w:rFonts w:ascii="Times New Roman" w:hAnsi="Times New Roman"/>
          <w:color w:val="131413"/>
          <w:sz w:val="24"/>
          <w:szCs w:val="24"/>
        </w:rPr>
        <w:t xml:space="preserve">layer </w:t>
      </w:r>
      <w:r>
        <w:rPr>
          <w:rFonts w:ascii="Times New Roman" w:hAnsi="Times New Roman"/>
          <w:color w:val="131413"/>
          <w:sz w:val="24"/>
          <w:szCs w:val="24"/>
        </w:rPr>
        <w:t>calorimeter</w:t>
      </w:r>
      <w:r>
        <w:rPr>
          <w:rFonts w:ascii="Times New Roman" w:hAnsi="Times New Roman"/>
          <w:color w:val="131413"/>
          <w:sz w:val="24"/>
          <w:szCs w:val="24"/>
        </w:rPr>
        <w:t xml:space="preserve"> beamtest [1] t</w:t>
      </w:r>
      <w:r>
        <w:rPr>
          <w:rFonts w:ascii="Times New Roman" w:hAnsi="Times New Roman"/>
          <w:color w:val="131413"/>
          <w:sz w:val="24"/>
          <w:szCs w:val="24"/>
        </w:rPr>
        <w:t xml:space="preserve">he LumiCal prototype comprised a mechanical structure </w:t>
      </w:r>
      <w:r>
        <w:rPr>
          <w:rFonts w:ascii="Times New Roman" w:hAnsi="Times New Roman"/>
          <w:color w:val="131413"/>
          <w:sz w:val="24"/>
          <w:szCs w:val="24"/>
        </w:rPr>
        <w:t>of eight tungsten absorber planes interspersed with four fully assembled sensor planes at different positions in between.</w:t>
      </w:r>
      <w:r>
        <w:rPr>
          <w:rFonts w:ascii="Times New Roman" w:hAnsi="Times New Roman"/>
          <w:color w:val="131413"/>
          <w:sz w:val="24"/>
          <w:szCs w:val="24"/>
        </w:rPr>
        <w:t xml:space="preserve">  The tungsten absorber plates </w:t>
      </w:r>
      <w:r>
        <w:rPr>
          <w:rFonts w:ascii="Times New Roman" w:hAnsi="Times New Roman"/>
          <w:color w:val="131413"/>
          <w:sz w:val="24"/>
          <w:szCs w:val="24"/>
        </w:rPr>
        <w:t>were 3.5 mm thick and</w:t>
      </w:r>
      <w:r>
        <w:rPr>
          <w:rFonts w:ascii="Times New Roman" w:hAnsi="Times New Roman"/>
          <w:color w:val="131413"/>
          <w:sz w:val="24"/>
          <w:szCs w:val="24"/>
        </w:rPr>
        <w:t xml:space="preserve"> mounted in </w:t>
      </w:r>
      <w:r>
        <w:rPr>
          <w:rFonts w:ascii="Times New Roman" w:hAnsi="Times New Roman"/>
          <w:color w:val="131413"/>
          <w:sz w:val="24"/>
          <w:szCs w:val="24"/>
        </w:rPr>
        <w:t xml:space="preserve">permaglass frames. </w:t>
      </w:r>
      <w:r>
        <w:rPr>
          <w:rFonts w:ascii="Times New Roman" w:hAnsi="Times New Roman"/>
          <w:color w:val="131413"/>
          <w:sz w:val="24"/>
          <w:szCs w:val="24"/>
        </w:rPr>
        <w:t>The</w:t>
      </w:r>
      <w:r>
        <w:rPr>
          <w:rFonts w:ascii="Times New Roman" w:hAnsi="Times New Roman"/>
          <w:color w:val="131413"/>
          <w:sz w:val="24"/>
          <w:szCs w:val="24"/>
        </w:rPr>
        <w:t xml:space="preserve"> tungsten absorber thickness uniformity w</w:t>
      </w:r>
      <w:r>
        <w:rPr>
          <w:rFonts w:ascii="Times New Roman" w:hAnsi="Times New Roman"/>
          <w:color w:val="131413"/>
          <w:sz w:val="24"/>
          <w:szCs w:val="24"/>
        </w:rPr>
        <w:t>as</w:t>
      </w:r>
      <w:r>
        <w:rPr>
          <w:rFonts w:ascii="Times New Roman" w:hAnsi="Times New Roman"/>
          <w:color w:val="131413"/>
          <w:sz w:val="24"/>
          <w:szCs w:val="24"/>
        </w:rPr>
        <w:t xml:space="preserve"> extensively tested. The maximum differences </w:t>
      </w:r>
      <w:r>
        <w:rPr>
          <w:rFonts w:ascii="Times New Roman" w:hAnsi="Times New Roman"/>
          <w:color w:val="131413"/>
          <w:sz w:val="24"/>
          <w:szCs w:val="24"/>
        </w:rPr>
        <w:t>in the flatness on front/back side</w:t>
      </w:r>
      <w:r>
        <w:rPr>
          <w:rFonts w:ascii="Times New Roman" w:hAnsi="Times New Roman"/>
          <w:color w:val="131413"/>
          <w:sz w:val="24"/>
          <w:szCs w:val="24"/>
        </w:rPr>
        <w:t xml:space="preserve"> do not exceed the required</w:t>
      </w:r>
      <w:r>
        <w:rPr>
          <w:rFonts w:ascii="Times New Roman" w:hAnsi="Times New Roman"/>
          <w:color w:val="0000FF"/>
          <w:sz w:val="24"/>
          <w:szCs w:val="24"/>
        </w:rPr>
        <w:t xml:space="preserve"> </w:t>
      </w:r>
      <w:r>
        <w:rPr>
          <w:rFonts w:ascii="Times New Roman" w:hAnsi="Times New Roman"/>
          <w:color w:val="131413"/>
          <w:sz w:val="24"/>
          <w:szCs w:val="24"/>
        </w:rPr>
        <w:t>±</w:t>
      </w:r>
      <w:r>
        <w:rPr>
          <w:rFonts w:ascii="Times New Roman" w:hAnsi="Times New Roman"/>
          <w:color w:val="131413"/>
          <w:sz w:val="24"/>
          <w:szCs w:val="24"/>
        </w:rPr>
        <w:t>1</w:t>
      </w:r>
      <w:r>
        <w:rPr>
          <w:rFonts w:ascii="Times New Roman" w:hAnsi="Times New Roman"/>
          <w:color w:val="131413"/>
          <w:sz w:val="24"/>
          <w:szCs w:val="24"/>
        </w:rPr>
        <w:t xml:space="preserve">0/±50 μm. </w:t>
      </w:r>
    </w:p>
    <w:p>
      <w:pPr>
        <w:pStyle w:val="Normal"/>
        <w:rPr>
          <w:rFonts w:ascii="Times New Roman" w:hAnsi="Times New Roman"/>
          <w:sz w:val="24"/>
          <w:szCs w:val="24"/>
        </w:rPr>
      </w:pPr>
      <w:r>
        <w:rPr>
          <w:rFonts w:ascii="Times New Roman" w:hAnsi="Times New Roman"/>
          <w:sz w:val="24"/>
          <w:szCs w:val="24"/>
        </w:rPr>
        <w:t>W</w:t>
      </w:r>
      <w:r>
        <w:rPr>
          <w:rFonts w:ascii="Times New Roman" w:hAnsi="Times New Roman"/>
          <w:sz w:val="24"/>
          <w:szCs w:val="24"/>
        </w:rPr>
        <w:t xml:space="preserve">ithin AIDA-2020 </w:t>
      </w:r>
      <w:r>
        <w:rPr>
          <w:rFonts w:ascii="Times New Roman" w:hAnsi="Times New Roman"/>
          <w:sz w:val="24"/>
          <w:szCs w:val="24"/>
        </w:rPr>
        <w:t>new</w:t>
      </w:r>
      <w:r>
        <w:rPr>
          <w:rFonts w:ascii="Times New Roman" w:hAnsi="Times New Roman"/>
          <w:sz w:val="24"/>
          <w:szCs w:val="24"/>
        </w:rPr>
        <w:t xml:space="preserve"> 25 tungsten plates </w:t>
      </w:r>
      <w:r>
        <w:rPr>
          <w:rFonts w:ascii="Times New Roman" w:hAnsi="Times New Roman"/>
          <w:sz w:val="24"/>
          <w:szCs w:val="24"/>
        </w:rPr>
        <w:t>of the size 140mm x140mm x 3.5mm and</w:t>
      </w:r>
      <w:r>
        <w:rPr>
          <w:rFonts w:ascii="Times New Roman" w:hAnsi="Times New Roman"/>
          <w:sz w:val="24"/>
          <w:szCs w:val="24"/>
        </w:rPr>
        <w:t xml:space="preserve"> of the </w:t>
      </w:r>
      <w:r>
        <w:rPr>
          <w:rFonts w:ascii="Times New Roman" w:hAnsi="Times New Roman"/>
          <w:sz w:val="24"/>
          <w:szCs w:val="24"/>
        </w:rPr>
        <w:t>precision</w:t>
      </w:r>
      <w:r>
        <w:rPr>
          <w:rFonts w:ascii="Times New Roman" w:hAnsi="Times New Roman"/>
          <w:sz w:val="24"/>
          <w:szCs w:val="24"/>
        </w:rPr>
        <w:t xml:space="preserve"> s</w:t>
      </w:r>
      <w:r>
        <w:rPr>
          <w:rFonts w:ascii="Times New Roman" w:hAnsi="Times New Roman"/>
          <w:sz w:val="24"/>
          <w:szCs w:val="24"/>
        </w:rPr>
        <w:t>imilar to previous ones</w:t>
      </w:r>
      <w:r>
        <w:rPr>
          <w:rFonts w:ascii="Times New Roman" w:hAnsi="Times New Roman"/>
          <w:sz w:val="24"/>
          <w:szCs w:val="24"/>
        </w:rPr>
        <w:t xml:space="preserve"> were </w:t>
      </w:r>
      <w:r>
        <w:rPr>
          <w:rFonts w:ascii="Times New Roman" w:hAnsi="Times New Roman"/>
          <w:sz w:val="24"/>
          <w:szCs w:val="24"/>
        </w:rPr>
        <w:t>developed</w:t>
      </w:r>
      <w:r>
        <w:rPr>
          <w:rFonts w:ascii="Times New Roman" w:hAnsi="Times New Roman"/>
          <w:sz w:val="24"/>
          <w:szCs w:val="24"/>
        </w:rPr>
        <w:t xml:space="preserve">, fabricated, and verified </w:t>
      </w:r>
      <w:r>
        <w:rPr>
          <w:rFonts w:ascii="Times New Roman" w:hAnsi="Times New Roman"/>
          <w:sz w:val="24"/>
          <w:szCs w:val="24"/>
        </w:rPr>
        <w:t>(</w:t>
      </w:r>
      <w:r>
        <w:rPr>
          <w:rFonts w:ascii="Times New Roman" w:hAnsi="Times New Roman"/>
          <w:sz w:val="24"/>
          <w:szCs w:val="24"/>
        </w:rPr>
        <w:t>by the CERN metrology group</w:t>
      </w:r>
      <w:r>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rPr>
        <w:t xml:space="preserve">Example tungsten plate is shown in Fig. 4. </w:t>
      </w:r>
      <w:r>
        <w:rPr>
          <w:rFonts w:ascii="Times New Roman" w:hAnsi="Times New Roman"/>
          <w:sz w:val="24"/>
          <w:szCs w:val="24"/>
        </w:rPr>
        <w:t xml:space="preserve">In total more than 30 </w:t>
      </w:r>
      <w:r>
        <w:rPr>
          <w:rFonts w:ascii="Times New Roman" w:hAnsi="Times New Roman"/>
          <w:sz w:val="24"/>
          <w:szCs w:val="24"/>
        </w:rPr>
        <w:t>precise tungsten plates were produced.</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9">
            <wp:simplePos x="0" y="0"/>
            <wp:positionH relativeFrom="column">
              <wp:align>center</wp:align>
            </wp:positionH>
            <wp:positionV relativeFrom="paragraph">
              <wp:posOffset>635</wp:posOffset>
            </wp:positionV>
            <wp:extent cx="3175635" cy="2936875"/>
            <wp:effectExtent l="0" t="0" r="0" b="0"/>
            <wp:wrapSquare wrapText="largest"/>
            <wp:docPr id="4"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descr=""/>
                    <pic:cNvPicPr>
                      <a:picLocks noChangeAspect="1" noChangeArrowheads="1"/>
                    </pic:cNvPicPr>
                  </pic:nvPicPr>
                  <pic:blipFill>
                    <a:blip r:embed="rId6"/>
                    <a:stretch>
                      <a:fillRect/>
                    </a:stretch>
                  </pic:blipFill>
                  <pic:spPr bwMode="auto">
                    <a:xfrm>
                      <a:off x="0" y="0"/>
                      <a:ext cx="3175635" cy="293687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jc w:val="center"/>
        <w:rPr>
          <w:i/>
          <w:i/>
          <w:iCs/>
          <w:color w:val="131413"/>
          <w:sz w:val="20"/>
          <w:szCs w:val="20"/>
          <w:lang w:eastAsia="en-US"/>
        </w:rPr>
      </w:pPr>
      <w:r>
        <w:rPr>
          <w:rFonts w:ascii="Times New Roman" w:hAnsi="Times New Roman"/>
        </w:rPr>
      </w:r>
    </w:p>
    <w:p>
      <w:pPr>
        <w:pStyle w:val="Caption1"/>
        <w:jc w:val="center"/>
        <w:rPr>
          <w:i/>
          <w:i/>
          <w:iCs/>
          <w:color w:val="131413"/>
          <w:sz w:val="20"/>
          <w:szCs w:val="20"/>
          <w:lang w:eastAsia="en-US"/>
        </w:rPr>
      </w:pPr>
      <w:r>
        <w:rPr>
          <w:rFonts w:ascii="Times New Roman" w:hAnsi="Times New Roman"/>
        </w:rPr>
      </w:r>
    </w:p>
    <w:p>
      <w:pPr>
        <w:pStyle w:val="Caption1"/>
        <w:jc w:val="center"/>
        <w:rPr>
          <w:i/>
          <w:i/>
          <w:iCs/>
          <w:color w:val="131413"/>
          <w:sz w:val="20"/>
          <w:szCs w:val="20"/>
          <w:lang w:eastAsia="en-US"/>
        </w:rPr>
      </w:pPr>
      <w:r>
        <w:rPr>
          <w:rFonts w:ascii="Times New Roman" w:hAnsi="Times New Roman"/>
        </w:rPr>
      </w:r>
    </w:p>
    <w:p>
      <w:pPr>
        <w:pStyle w:val="Caption1"/>
        <w:jc w:val="center"/>
        <w:rPr>
          <w:rFonts w:ascii="Times New Roman" w:hAnsi="Times New Roman"/>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 xml:space="preserve">4 </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 xml:space="preserve">A </w:t>
      </w:r>
      <w:r>
        <w:rPr>
          <w:rFonts w:ascii="Times New Roman" w:hAnsi="Times New Roman"/>
          <w:i/>
          <w:iCs/>
          <w:color w:val="131413"/>
          <w:sz w:val="20"/>
          <w:szCs w:val="20"/>
          <w:lang w:eastAsia="en-US"/>
        </w:rPr>
        <w:t>3.5 mm thick</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tungsten plate</w:t>
      </w:r>
    </w:p>
    <w:p>
      <w:pPr>
        <w:pStyle w:val="Heading1"/>
        <w:numPr>
          <w:ilvl w:val="0"/>
          <w:numId w:val="0"/>
        </w:numPr>
        <w:ind w:left="0" w:hanging="0"/>
        <w:rPr/>
      </w:pPr>
      <w:r>
        <w:rPr/>
      </w:r>
    </w:p>
    <w:p>
      <w:pPr>
        <w:pStyle w:val="Heading1"/>
        <w:numPr>
          <w:ilvl w:val="0"/>
          <w:numId w:val="2"/>
        </w:numPr>
        <w:rPr/>
      </w:pPr>
      <w:bookmarkStart w:id="17" w:name="_Toc285912672"/>
      <w:r>
        <w:rPr/>
        <w:t>D</w:t>
      </w:r>
      <w:bookmarkEnd w:id="17"/>
      <w:r>
        <w:rPr/>
        <w:t>edicated Readout electronics</w:t>
      </w:r>
    </w:p>
    <w:p>
      <w:pPr>
        <w:pStyle w:val="Normal"/>
        <w:rPr>
          <w:rFonts w:ascii="Times New Roman" w:hAnsi="Times New Roman"/>
          <w:sz w:val="24"/>
          <w:szCs w:val="24"/>
        </w:rPr>
      </w:pPr>
      <w:r>
        <w:rPr/>
      </w:r>
    </w:p>
    <w:p>
      <w:pPr>
        <w:pStyle w:val="Normal"/>
        <w:rPr/>
      </w:pPr>
      <w:r>
        <w:rPr>
          <w:rFonts w:ascii="Times New Roman" w:hAnsi="Times New Roman"/>
          <w:sz w:val="24"/>
          <w:szCs w:val="24"/>
        </w:rPr>
        <w:t xml:space="preserve">The existing readout </w:t>
      </w:r>
      <w:r>
        <w:rPr>
          <w:rFonts w:ascii="Times New Roman" w:hAnsi="Times New Roman"/>
          <w:sz w:val="24"/>
          <w:szCs w:val="24"/>
        </w:rPr>
        <w:t>[1,2]</w:t>
      </w:r>
      <w:r>
        <w:rPr>
          <w:rFonts w:ascii="Times New Roman" w:hAnsi="Times New Roman"/>
          <w:sz w:val="24"/>
          <w:szCs w:val="24"/>
        </w:rPr>
        <w:t xml:space="preserve"> </w:t>
      </w:r>
      <w:r>
        <w:rPr>
          <w:rFonts w:ascii="Times New Roman" w:hAnsi="Times New Roman"/>
          <w:sz w:val="24"/>
          <w:szCs w:val="24"/>
        </w:rPr>
        <w:t>was</w:t>
      </w:r>
      <w:r>
        <w:rPr>
          <w:rFonts w:ascii="Times New Roman" w:hAnsi="Times New Roman"/>
          <w:sz w:val="24"/>
          <w:szCs w:val="24"/>
        </w:rPr>
        <w:t xml:space="preserve"> limited in the number of channels </w:t>
      </w:r>
      <w:r>
        <w:rPr>
          <w:rFonts w:ascii="Times New Roman" w:hAnsi="Times New Roman"/>
          <w:sz w:val="24"/>
          <w:szCs w:val="24"/>
        </w:rPr>
        <w:t>a</w:t>
      </w:r>
      <w:r>
        <w:rPr>
          <w:rFonts w:ascii="Times New Roman" w:hAnsi="Times New Roman"/>
          <w:sz w:val="24"/>
          <w:szCs w:val="24"/>
        </w:rPr>
        <w:t>llow</w:t>
      </w:r>
      <w:r>
        <w:rPr>
          <w:rFonts w:ascii="Times New Roman" w:hAnsi="Times New Roman"/>
          <w:sz w:val="24"/>
          <w:szCs w:val="24"/>
        </w:rPr>
        <w:t>ing to</w:t>
      </w:r>
      <w:r>
        <w:rPr>
          <w:rFonts w:ascii="Times New Roman" w:hAnsi="Times New Roman"/>
          <w:sz w:val="24"/>
          <w:szCs w:val="24"/>
        </w:rPr>
        <w:t xml:space="preserve"> build only small (32 readout channels) prototypes of detector modules. </w:t>
      </w:r>
      <w:r>
        <w:rPr/>
        <w:t xml:space="preserve">For very compact calorimeter a larger ultra-low power, SoC type (all functionalities on chip) readout ASIC is needed. The development of such an ASIC, called FLAME (FcaL Asic for Multiplane rEadout) has been done in CMOS 130 nm process [3]. </w:t>
      </w:r>
    </w:p>
    <w:p>
      <w:pPr>
        <w:pStyle w:val="Normal"/>
        <w:rPr>
          <w:rFonts w:ascii="Times New Roman" w:hAnsi="Times New Roman"/>
          <w:sz w:val="24"/>
          <w:szCs w:val="24"/>
        </w:rPr>
      </w:pPr>
      <w:r>
        <w:rPr>
          <w:rFonts w:ascii="Times New Roman" w:hAnsi="Times New Roman"/>
          <w:color w:val="000000"/>
          <w:sz w:val="24"/>
          <w:szCs w:val="24"/>
        </w:rPr>
        <w:t xml:space="preserve">The block diagram of FLAME is shown in </w:t>
      </w:r>
      <w:r>
        <w:rPr>
          <w:rFonts w:ascii="Times New Roman" w:hAnsi="Times New Roman"/>
          <w:color w:val="000000"/>
          <w:sz w:val="24"/>
          <w:szCs w:val="24"/>
        </w:rPr>
        <w:t xml:space="preserve">Fig. </w:t>
      </w:r>
      <w:r>
        <w:rPr>
          <w:rFonts w:ascii="Times New Roman" w:hAnsi="Times New Roman"/>
          <w:color w:val="000000"/>
          <w:sz w:val="24"/>
          <w:szCs w:val="24"/>
        </w:rPr>
        <w:t>5</w:t>
      </w:r>
      <w:r>
        <w:rPr>
          <w:rFonts w:ascii="Times New Roman" w:hAnsi="Times New Roman"/>
          <w:color w:val="000000"/>
          <w:sz w:val="24"/>
          <w:szCs w:val="24"/>
        </w:rPr>
        <w:t xml:space="preserve">. FLAME is based on the same architecture as the previous readout, with an analogue front-end and a 10-bit ADC </w:t>
      </w:r>
      <w:r>
        <w:rPr>
          <w:rFonts w:ascii="Times New Roman" w:hAnsi="Times New Roman"/>
          <w:color w:val="000000"/>
          <w:sz w:val="24"/>
          <w:szCs w:val="24"/>
        </w:rPr>
        <w:t>[</w:t>
      </w:r>
      <w:r>
        <w:rPr>
          <w:rFonts w:ascii="Times New Roman" w:hAnsi="Times New Roman"/>
          <w:color w:val="000000"/>
          <w:sz w:val="24"/>
          <w:szCs w:val="24"/>
        </w:rPr>
        <w:t>4</w:t>
      </w:r>
      <w:r>
        <w:rPr>
          <w:rFonts w:ascii="Times New Roman" w:hAnsi="Times New Roman"/>
          <w:color w:val="000000"/>
          <w:sz w:val="24"/>
          <w:szCs w:val="24"/>
        </w:rPr>
        <w:t>]</w:t>
      </w:r>
      <w:r>
        <w:rPr>
          <w:rFonts w:ascii="Times New Roman" w:hAnsi="Times New Roman"/>
          <w:color w:val="000000"/>
          <w:sz w:val="24"/>
          <w:szCs w:val="24"/>
        </w:rPr>
        <w:t xml:space="preserve"> in each channel. It is developed in a smaller feature-size TSMC 130 nm CMOS technology. This choice allows to obtain a large reduction of the power consumption and much better radiation hardness. A System on Chip (SoC) architecture was chosen, comprising all functionality (analogue front-end, ADC, data serialisation and transmission) in one ASIC. This will simplify the architecture of the overall readout system, minimising the number of its components. </w:t>
      </w:r>
      <w:r>
        <w:rPr>
          <w:rFonts w:ascii="Times New Roman" w:hAnsi="Times New Roman"/>
          <w:color w:val="000000"/>
          <w:sz w:val="24"/>
          <w:szCs w:val="24"/>
        </w:rPr>
        <w:t xml:space="preserve">To make </w:t>
      </w:r>
      <w:r>
        <w:rPr>
          <w:rFonts w:ascii="Times New Roman" w:hAnsi="Times New Roman"/>
          <w:color w:val="000000"/>
          <w:sz w:val="24"/>
          <w:szCs w:val="24"/>
        </w:rPr>
        <w:t>a</w:t>
      </w:r>
      <w:r>
        <w:rPr>
          <w:rFonts w:ascii="Times New Roman" w:hAnsi="Times New Roman"/>
          <w:color w:val="000000"/>
          <w:sz w:val="24"/>
          <w:szCs w:val="24"/>
        </w:rPr>
        <w:t xml:space="preserve"> compact readout </w:t>
      </w:r>
      <w:r>
        <w:rPr>
          <w:rFonts w:ascii="Times New Roman" w:hAnsi="Times New Roman"/>
          <w:color w:val="000000"/>
          <w:sz w:val="24"/>
          <w:szCs w:val="24"/>
        </w:rPr>
        <w:t>able to</w:t>
      </w:r>
      <w:r>
        <w:rPr>
          <w:rFonts w:ascii="Times New Roman" w:hAnsi="Times New Roman"/>
          <w:color w:val="000000"/>
          <w:sz w:val="24"/>
          <w:szCs w:val="24"/>
        </w:rPr>
        <w:t xml:space="preserve"> </w:t>
      </w:r>
      <w:r>
        <w:rPr>
          <w:rFonts w:ascii="Times New Roman" w:hAnsi="Times New Roman"/>
          <w:color w:val="000000"/>
          <w:sz w:val="24"/>
          <w:szCs w:val="24"/>
        </w:rPr>
        <w:t>process signals from</w:t>
      </w:r>
      <w:r>
        <w:rPr>
          <w:rFonts w:ascii="Times New Roman" w:hAnsi="Times New Roman"/>
          <w:color w:val="000000"/>
          <w:sz w:val="24"/>
          <w:szCs w:val="24"/>
        </w:rPr>
        <w:t xml:space="preserve"> all sensor channels the number of channels in the ASIC was increased from 8 (in previous ASIC) to 32 in the </w:t>
      </w:r>
      <w:r>
        <w:rPr>
          <w:rFonts w:ascii="Times New Roman" w:hAnsi="Times New Roman"/>
          <w:color w:val="000000"/>
          <w:sz w:val="24"/>
          <w:szCs w:val="24"/>
        </w:rPr>
        <w:t xml:space="preserve">FLAME. </w:t>
      </w:r>
      <w:r>
        <w:rPr>
          <w:rFonts w:ascii="Times New Roman" w:hAnsi="Times New Roman"/>
          <w:color w:val="000000"/>
          <w:sz w:val="24"/>
          <w:szCs w:val="24"/>
        </w:rPr>
        <w:t>It</w:t>
      </w:r>
      <w:r>
        <w:rPr>
          <w:rFonts w:ascii="Times New Roman" w:hAnsi="Times New Roman"/>
          <w:color w:val="000000"/>
          <w:sz w:val="24"/>
          <w:szCs w:val="24"/>
        </w:rPr>
        <w:t xml:space="preserve"> was </w:t>
      </w:r>
      <w:r>
        <w:rPr>
          <w:rFonts w:ascii="Times New Roman" w:hAnsi="Times New Roman"/>
          <w:color w:val="000000"/>
          <w:sz w:val="24"/>
          <w:szCs w:val="24"/>
        </w:rPr>
        <w:t>decided as</w:t>
      </w:r>
      <w:r>
        <w:rPr>
          <w:rFonts w:ascii="Times New Roman" w:hAnsi="Times New Roman"/>
          <w:color w:val="000000"/>
          <w:sz w:val="24"/>
          <w:szCs w:val="24"/>
        </w:rPr>
        <w:t xml:space="preserve"> a compromise between </w:t>
      </w:r>
      <w:r>
        <w:rPr>
          <w:rFonts w:ascii="Times New Roman" w:hAnsi="Times New Roman"/>
          <w:color w:val="000000"/>
          <w:sz w:val="24"/>
          <w:szCs w:val="24"/>
        </w:rPr>
        <w:t>between the compactness of the readout and the cost of the FLAME ASIC. In this way,</w:t>
      </w:r>
      <w:r>
        <w:rPr>
          <w:rFonts w:ascii="Times New Roman" w:hAnsi="Times New Roman"/>
          <w:color w:val="000000"/>
          <w:sz w:val="24"/>
          <w:szCs w:val="24"/>
        </w:rPr>
        <w:t xml:space="preserve"> </w:t>
      </w:r>
      <w:r>
        <w:rPr>
          <w:rFonts w:ascii="Times New Roman" w:hAnsi="Times New Roman"/>
          <w:color w:val="000000"/>
          <w:sz w:val="24"/>
          <w:szCs w:val="24"/>
        </w:rPr>
        <w:t>using</w:t>
      </w:r>
      <w:r>
        <w:rPr>
          <w:rFonts w:ascii="Times New Roman" w:hAnsi="Times New Roman"/>
          <w:color w:val="000000"/>
          <w:sz w:val="24"/>
          <w:szCs w:val="24"/>
        </w:rPr>
        <w:t xml:space="preserve"> a readout board with </w:t>
      </w:r>
      <w:r>
        <w:rPr>
          <w:rFonts w:ascii="Times New Roman" w:hAnsi="Times New Roman"/>
          <w:color w:val="000000"/>
          <w:sz w:val="24"/>
          <w:szCs w:val="24"/>
        </w:rPr>
        <w:t>eight</w:t>
      </w:r>
      <w:r>
        <w:rPr>
          <w:rFonts w:ascii="Times New Roman" w:hAnsi="Times New Roman"/>
          <w:color w:val="000000"/>
          <w:sz w:val="24"/>
          <w:szCs w:val="24"/>
        </w:rPr>
        <w:t xml:space="preserve"> </w:t>
      </w:r>
      <w:r>
        <w:rPr>
          <w:rFonts w:ascii="Times New Roman" w:hAnsi="Times New Roman"/>
          <w:color w:val="000000"/>
          <w:sz w:val="24"/>
          <w:szCs w:val="24"/>
        </w:rPr>
        <w:t>32-channel ASICs</w:t>
      </w:r>
      <w:r>
        <w:rPr>
          <w:rFonts w:ascii="Times New Roman" w:hAnsi="Times New Roman"/>
          <w:color w:val="000000"/>
          <w:sz w:val="24"/>
          <w:szCs w:val="24"/>
        </w:rPr>
        <w:t xml:space="preserve"> one can build a detector module that reads the whole LumiCal sensor tile, contain</w:t>
      </w:r>
      <w:r>
        <w:rPr>
          <w:rFonts w:ascii="Times New Roman" w:hAnsi="Times New Roman"/>
          <w:color w:val="000000"/>
          <w:sz w:val="24"/>
          <w:szCs w:val="24"/>
        </w:rPr>
        <w:t>ing</w:t>
      </w:r>
      <w:r>
        <w:rPr>
          <w:rFonts w:ascii="Times New Roman" w:hAnsi="Times New Roman"/>
          <w:color w:val="000000"/>
          <w:sz w:val="24"/>
          <w:szCs w:val="24"/>
        </w:rPr>
        <w:t xml:space="preserve"> 256 channels. The </w:t>
      </w:r>
      <w:r>
        <w:rPr>
          <w:rFonts w:ascii="Times New Roman" w:hAnsi="Times New Roman"/>
          <w:color w:val="000000"/>
          <w:sz w:val="24"/>
          <w:szCs w:val="24"/>
        </w:rPr>
        <w:t>FLAME</w:t>
      </w:r>
      <w:r>
        <w:rPr>
          <w:rFonts w:ascii="Times New Roman" w:hAnsi="Times New Roman"/>
          <w:color w:val="000000"/>
          <w:sz w:val="24"/>
          <w:szCs w:val="24"/>
        </w:rPr>
        <w:t xml:space="preserve"> chip is built of two identical 16-channel blocks. The data from each block is sent out by a very fast (5.2 Gbps) serialiser and a serial data transmission block. The output data are coded and formatted and can be received directly by fast FPGA links.</w:t>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4524375" cy="2762250"/>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7"/>
                    <a:stretch>
                      <a:fillRect/>
                    </a:stretch>
                  </pic:blipFill>
                  <pic:spPr bwMode="auto">
                    <a:xfrm>
                      <a:off x="0" y="0"/>
                      <a:ext cx="4524375" cy="2762250"/>
                    </a:xfrm>
                    <a:prstGeom prst="rect">
                      <a:avLst/>
                    </a:prstGeom>
                  </pic:spPr>
                </pic:pic>
              </a:graphicData>
            </a:graphic>
          </wp:anchor>
        </w:drawing>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Caption1"/>
        <w:jc w:val="center"/>
        <w:rPr>
          <w:rFonts w:ascii="Times New Roman" w:hAnsi="Times New Roman"/>
          <w:sz w:val="24"/>
          <w:szCs w:val="24"/>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5</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Block diagram of the FLAME readout ASIC</w:t>
      </w:r>
    </w:p>
    <w:p>
      <w:pPr>
        <w:pStyle w:val="Normal"/>
        <w:rPr>
          <w:color w:val="000000"/>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color w:val="000000"/>
          <w:sz w:val="24"/>
          <w:szCs w:val="24"/>
        </w:rPr>
        <w:t xml:space="preserve">The development of FLAME </w:t>
      </w:r>
      <w:r>
        <w:rPr>
          <w:rFonts w:ascii="Times New Roman" w:hAnsi="Times New Roman"/>
          <w:color w:val="000000"/>
          <w:sz w:val="24"/>
          <w:szCs w:val="24"/>
        </w:rPr>
        <w:t>wa</w:t>
      </w:r>
      <w:r>
        <w:rPr>
          <w:rFonts w:ascii="Times New Roman" w:hAnsi="Times New Roman"/>
          <w:color w:val="000000"/>
          <w:sz w:val="24"/>
          <w:szCs w:val="24"/>
        </w:rPr>
        <w:t xml:space="preserve">s </w:t>
      </w:r>
      <w:r>
        <w:rPr>
          <w:rFonts w:ascii="Times New Roman" w:hAnsi="Times New Roman"/>
          <w:color w:val="000000"/>
          <w:sz w:val="24"/>
          <w:szCs w:val="24"/>
        </w:rPr>
        <w:t>done in two stages</w:t>
      </w:r>
      <w:r>
        <w:rPr>
          <w:rFonts w:ascii="Times New Roman" w:hAnsi="Times New Roman"/>
          <w:color w:val="000000"/>
          <w:sz w:val="24"/>
          <w:szCs w:val="24"/>
        </w:rPr>
        <w:t xml:space="preserve">. </w:t>
      </w:r>
      <w:r>
        <w:rPr>
          <w:rFonts w:ascii="Times New Roman" w:hAnsi="Times New Roman"/>
          <w:color w:val="000000"/>
          <w:sz w:val="24"/>
          <w:szCs w:val="24"/>
        </w:rPr>
        <w:t>In the first stage</w:t>
      </w:r>
      <w:r>
        <w:rPr>
          <w:rFonts w:ascii="Times New Roman" w:hAnsi="Times New Roman"/>
          <w:color w:val="000000"/>
          <w:sz w:val="24"/>
          <w:szCs w:val="24"/>
        </w:rPr>
        <w:t xml:space="preserve"> prototypes of </w:t>
      </w:r>
      <w:r>
        <w:rPr>
          <w:rFonts w:ascii="Times New Roman" w:hAnsi="Times New Roman"/>
          <w:color w:val="000000"/>
          <w:sz w:val="24"/>
          <w:szCs w:val="24"/>
        </w:rPr>
        <w:t>two</w:t>
      </w:r>
      <w:r>
        <w:rPr>
          <w:rFonts w:ascii="Times New Roman" w:hAnsi="Times New Roman"/>
          <w:color w:val="000000"/>
          <w:sz w:val="24"/>
          <w:szCs w:val="24"/>
        </w:rPr>
        <w:t xml:space="preserve"> </w:t>
      </w:r>
      <w:r>
        <w:rPr>
          <w:rFonts w:ascii="Times New Roman" w:hAnsi="Times New Roman"/>
          <w:color w:val="000000"/>
          <w:sz w:val="24"/>
          <w:szCs w:val="24"/>
        </w:rPr>
        <w:t>main</w:t>
      </w:r>
      <w:r>
        <w:rPr>
          <w:rFonts w:ascii="Times New Roman" w:hAnsi="Times New Roman"/>
          <w:color w:val="000000"/>
          <w:sz w:val="24"/>
          <w:szCs w:val="24"/>
        </w:rPr>
        <w:t xml:space="preserve"> blocks, i.e. </w:t>
      </w:r>
      <w:r>
        <w:rPr>
          <w:rFonts w:ascii="Times New Roman" w:hAnsi="Times New Roman"/>
          <w:color w:val="000000"/>
          <w:sz w:val="24"/>
          <w:szCs w:val="24"/>
        </w:rPr>
        <w:t>an</w:t>
      </w:r>
      <w:r>
        <w:rPr>
          <w:rFonts w:ascii="Times New Roman" w:hAnsi="Times New Roman"/>
          <w:color w:val="000000"/>
          <w:sz w:val="24"/>
          <w:szCs w:val="24"/>
        </w:rPr>
        <w:t xml:space="preserve"> </w:t>
      </w:r>
      <w:r>
        <w:rPr>
          <w:rFonts w:ascii="Times New Roman" w:hAnsi="Times New Roman"/>
          <w:sz w:val="24"/>
          <w:szCs w:val="24"/>
        </w:rPr>
        <w:t xml:space="preserve">8-channel </w:t>
      </w:r>
      <w:r>
        <w:rPr>
          <w:rFonts w:ascii="Times New Roman" w:hAnsi="Times New Roman"/>
          <w:sz w:val="24"/>
          <w:szCs w:val="24"/>
        </w:rPr>
        <w:t>ASIC containing</w:t>
      </w:r>
      <w:r>
        <w:rPr>
          <w:rFonts w:ascii="Times New Roman" w:hAnsi="Times New Roman"/>
          <w:sz w:val="24"/>
          <w:szCs w:val="24"/>
        </w:rPr>
        <w:t xml:space="preserve"> front-end plus ADC </w:t>
      </w:r>
      <w:r>
        <w:rPr>
          <w:rFonts w:ascii="Times New Roman" w:hAnsi="Times New Roman"/>
          <w:sz w:val="24"/>
          <w:szCs w:val="24"/>
        </w:rPr>
        <w:t>in each channel</w:t>
      </w:r>
      <w:r>
        <w:rPr>
          <w:rFonts w:ascii="Times New Roman" w:hAnsi="Times New Roman"/>
          <w:sz w:val="24"/>
          <w:szCs w:val="24"/>
        </w:rPr>
        <w:t xml:space="preserve"> and </w:t>
      </w:r>
      <w:r>
        <w:rPr>
          <w:rFonts w:ascii="Times New Roman" w:hAnsi="Times New Roman"/>
          <w:sz w:val="24"/>
          <w:szCs w:val="24"/>
        </w:rPr>
        <w:t>a</w:t>
      </w:r>
      <w:r>
        <w:rPr>
          <w:rFonts w:ascii="Times New Roman" w:hAnsi="Times New Roman"/>
          <w:sz w:val="24"/>
          <w:szCs w:val="24"/>
        </w:rPr>
        <w:t xml:space="preserve"> serialiser and data transmission ASIC, were </w:t>
      </w:r>
      <w:r>
        <w:rPr>
          <w:rFonts w:ascii="Times New Roman" w:hAnsi="Times New Roman"/>
          <w:sz w:val="24"/>
          <w:szCs w:val="24"/>
        </w:rPr>
        <w:t>developed</w:t>
      </w:r>
      <w:r>
        <w:rPr>
          <w:rFonts w:ascii="Times New Roman" w:hAnsi="Times New Roman"/>
          <w:sz w:val="24"/>
          <w:szCs w:val="24"/>
        </w:rPr>
        <w:t xml:space="preserve">. </w:t>
      </w:r>
      <w:r>
        <w:rPr>
          <w:rFonts w:ascii="Times New Roman" w:hAnsi="Times New Roman"/>
          <w:sz w:val="24"/>
          <w:szCs w:val="24"/>
        </w:rPr>
        <w:t>The design and tests of these blocks are described in AIDA-2020 Milestone Report [5].</w:t>
      </w:r>
      <w:r>
        <w:rPr>
          <w:rFonts w:ascii="Times New Roman" w:hAnsi="Times New Roman"/>
          <w:sz w:val="24"/>
          <w:szCs w:val="24"/>
        </w:rPr>
        <w:t xml:space="preserve"> </w:t>
      </w:r>
      <w:r>
        <w:rPr>
          <w:rFonts w:ascii="Times New Roman" w:hAnsi="Times New Roman"/>
          <w:sz w:val="24"/>
          <w:szCs w:val="24"/>
        </w:rPr>
        <w:t>In the second stage the complete FLAME ASIC, comprising 32 front-end channels and two fast data transmission links, was developed. By now 80 ASICs were produced, which is enough to  instrument up to 10 readout planes The photograph of the FLAME ASIC bonded to the test PCB board is shown in Fig 6.</w:t>
      </w:r>
    </w:p>
    <w:p>
      <w:pPr>
        <w:pStyle w:val="Normal"/>
        <w:rPr>
          <w:rFonts w:ascii="Times New Roman" w:hAnsi="Times New Roman"/>
          <w:sz w:val="24"/>
          <w:szCs w:val="24"/>
        </w:rPr>
      </w:pPr>
      <w:r>
        <w:rPr>
          <w:rFonts w:ascii="Times New Roman" w:hAnsi="Times New Roman"/>
          <w:sz w:val="24"/>
          <w:szCs w:val="24"/>
        </w:rPr>
        <mc:AlternateContent>
          <mc:Choice Requires="wps">
            <w:drawing>
              <wp:anchor behindDoc="0" distT="0" distB="0" distL="0" distR="0" simplePos="0" locked="0" layoutInCell="1" allowOverlap="1" relativeHeight="22">
                <wp:simplePos x="0" y="0"/>
                <wp:positionH relativeFrom="column">
                  <wp:posOffset>1783715</wp:posOffset>
                </wp:positionH>
                <wp:positionV relativeFrom="paragraph">
                  <wp:posOffset>56515</wp:posOffset>
                </wp:positionV>
                <wp:extent cx="3037840" cy="3535680"/>
                <wp:effectExtent l="0" t="0" r="0" b="0"/>
                <wp:wrapNone/>
                <wp:docPr id="6" name="Shape1"/>
                <a:graphic xmlns:a="http://schemas.openxmlformats.org/drawingml/2006/main">
                  <a:graphicData uri="http://schemas.openxmlformats.org/drawingml/2006/picture">
                    <pic:pic xmlns:pic="http://schemas.openxmlformats.org/drawingml/2006/picture">
                      <pic:nvPicPr>
                        <pic:cNvPr id="0" name="Shape1" descr=""/>
                        <pic:cNvPicPr/>
                      </pic:nvPicPr>
                      <pic:blipFill>
                        <a:blip r:embed="rId8"/>
                        <a:stretch/>
                      </pic:blipFill>
                      <pic:spPr>
                        <a:xfrm>
                          <a:off x="0" y="0"/>
                          <a:ext cx="3037320" cy="3535200"/>
                        </a:xfrm>
                        <a:prstGeom prst="rect">
                          <a:avLst/>
                        </a:prstGeom>
                        <a:ln>
                          <a:noFill/>
                        </a:ln>
                      </pic:spPr>
                    </pic:pic>
                  </a:graphicData>
                </a:graphic>
              </wp:anchor>
            </w:drawing>
          </mc:Choice>
          <mc:Fallback>
            <w:pict>
              <v:rect id="shape_0" ID="Shape1" stroked="f" style="position:absolute;margin-left:140.45pt;margin-top:4.45pt;width:239.1pt;height:278.3pt">
                <v:imagedata r:id="rId8" o:detectmouseclick="t"/>
                <w10:wrap type="none"/>
                <v:stroke color="#3465a4" joinstyle="round" endcap="flat"/>
              </v:rect>
            </w:pict>
          </mc:Fallback>
        </mc:AlternateConten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Caption1"/>
        <w:jc w:val="center"/>
        <w:rPr>
          <w:rFonts w:ascii="Times New Roman" w:hAnsi="Times New Roman"/>
          <w:sz w:val="24"/>
          <w:szCs w:val="24"/>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6</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Photograph</w:t>
      </w:r>
      <w:r>
        <w:rPr>
          <w:rFonts w:ascii="Times New Roman" w:hAnsi="Times New Roman"/>
          <w:i/>
          <w:iCs/>
          <w:color w:val="131413"/>
          <w:sz w:val="20"/>
          <w:szCs w:val="20"/>
          <w:lang w:eastAsia="en-US"/>
        </w:rPr>
        <w:t xml:space="preserve"> of the FLAME readout ASIC</w:t>
      </w:r>
      <w:r>
        <w:rPr>
          <w:rFonts w:ascii="Times New Roman" w:hAnsi="Times New Roman"/>
          <w:i/>
          <w:iCs/>
          <w:color w:val="131413"/>
          <w:sz w:val="20"/>
          <w:szCs w:val="20"/>
          <w:lang w:eastAsia="en-US"/>
        </w:rPr>
        <w:t xml:space="preserve"> bonded to test PCB</w:t>
      </w:r>
    </w:p>
    <w:p>
      <w:pPr>
        <w:pStyle w:val="Normal"/>
        <w:rPr>
          <w:rFonts w:ascii="Times New Roman" w:hAnsi="Times New Roman"/>
          <w:sz w:val="24"/>
          <w:szCs w:val="24"/>
        </w:rPr>
      </w:pPr>
      <w:r>
        <w:rPr>
          <w:rFonts w:ascii="Times New Roman" w:hAnsi="Times New Roman"/>
          <w:sz w:val="24"/>
          <w:szCs w:val="24"/>
        </w:rPr>
        <w:t xml:space="preserve">The functionality of FLAME was positively verified during laboratory tests. Example laboratory measurement of a test pulse together with CR-RC fit is shown in Fig. 7. Such result confirms the expected pulse shape behavior but more importantly, it shows that the whole signal processing chain, including data serialization and fast transmission, works correctly. </w:t>
      </w:r>
    </w:p>
    <w:p>
      <w:pPr>
        <w:pStyle w:val="Normal"/>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17">
            <wp:simplePos x="0" y="0"/>
            <wp:positionH relativeFrom="column">
              <wp:posOffset>946150</wp:posOffset>
            </wp:positionH>
            <wp:positionV relativeFrom="paragraph">
              <wp:posOffset>71755</wp:posOffset>
            </wp:positionV>
            <wp:extent cx="4365625" cy="305562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9"/>
                    <a:stretch>
                      <a:fillRect/>
                    </a:stretch>
                  </pic:blipFill>
                  <pic:spPr bwMode="auto">
                    <a:xfrm>
                      <a:off x="0" y="0"/>
                      <a:ext cx="4365625" cy="3055620"/>
                    </a:xfrm>
                    <a:prstGeom prst="rect">
                      <a:avLst/>
                    </a:prstGeom>
                  </pic:spPr>
                </pic:pic>
              </a:graphicData>
            </a:graphic>
          </wp:anchor>
        </w:drawing>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color w:val="000000"/>
        </w:rPr>
      </w:pPr>
      <w:r>
        <w:rPr>
          <w:rFonts w:ascii="Times New Roman" w:hAnsi="Times New Roman"/>
          <w:sz w:val="24"/>
          <w:szCs w:val="24"/>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jc w:val="center"/>
        <w:rPr>
          <w:rFonts w:ascii="Times New Roman" w:hAnsi="Times New Roman"/>
          <w:sz w:val="24"/>
          <w:szCs w:val="24"/>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7</w:t>
      </w:r>
      <w:r>
        <w:rPr>
          <w:rFonts w:ascii="Times New Roman" w:hAnsi="Times New Roman"/>
          <w:i/>
          <w:iCs/>
          <w:color w:val="131413"/>
          <w:sz w:val="20"/>
          <w:szCs w:val="20"/>
          <w:lang w:eastAsia="en-US"/>
        </w:rPr>
        <w:t xml:space="preserve"> Example test pulse on channel 1 together with CR-RC fit. Channels 0 and 2 are shown to check the crosstalk</w:t>
      </w:r>
    </w:p>
    <w:p>
      <w:pPr>
        <w:pStyle w:val="Normal"/>
        <w:rPr/>
      </w:pPr>
      <w:r>
        <w:rPr/>
      </w:r>
    </w:p>
    <w:p>
      <w:pPr>
        <w:pStyle w:val="Normal"/>
        <w:rPr/>
      </w:pPr>
      <w:r>
        <w:rPr/>
        <w:t>After the succesfull verification of FLAME performance a compact PCB board allowing for the readout of 256-channel sensor tile was designed and fabricated. The photograph of the PCB is shown in Fig. 8. At the top two 128-channel connectors for the sensor Kapton fan-outs should be mounted. Middle part will be populated by eigh FLAME ASICs.</w:t>
      </w:r>
    </w:p>
    <w:p>
      <w:pPr>
        <w:pStyle w:val="Normal"/>
        <w:rPr/>
      </w:pPr>
      <w:r>
        <w:rPr/>
        <w:drawing>
          <wp:anchor behindDoc="0" distT="0" distB="0" distL="0" distR="0" simplePos="0" locked="0" layoutInCell="1" allowOverlap="1" relativeHeight="23">
            <wp:simplePos x="0" y="0"/>
            <wp:positionH relativeFrom="column">
              <wp:posOffset>513080</wp:posOffset>
            </wp:positionH>
            <wp:positionV relativeFrom="paragraph">
              <wp:posOffset>102235</wp:posOffset>
            </wp:positionV>
            <wp:extent cx="4812665" cy="2875280"/>
            <wp:effectExtent l="0" t="0" r="0" b="0"/>
            <wp:wrapSquare wrapText="largest"/>
            <wp:docPr id="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descr=""/>
                    <pic:cNvPicPr>
                      <a:picLocks noChangeAspect="1" noChangeArrowheads="1"/>
                    </pic:cNvPicPr>
                  </pic:nvPicPr>
                  <pic:blipFill>
                    <a:blip r:embed="rId10"/>
                    <a:stretch>
                      <a:fillRect/>
                    </a:stretch>
                  </pic:blipFill>
                  <pic:spPr bwMode="auto">
                    <a:xfrm>
                      <a:off x="0" y="0"/>
                      <a:ext cx="4812665" cy="287528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jc w:val="center"/>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8</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Photograph</w:t>
      </w:r>
      <w:r>
        <w:rPr>
          <w:rFonts w:ascii="Times New Roman" w:hAnsi="Times New Roman"/>
          <w:i/>
          <w:iCs/>
          <w:color w:val="131413"/>
          <w:sz w:val="20"/>
          <w:szCs w:val="20"/>
          <w:lang w:eastAsia="en-US"/>
        </w:rPr>
        <w:t xml:space="preserve"> of </w:t>
      </w:r>
      <w:r>
        <w:rPr>
          <w:rFonts w:ascii="Times New Roman" w:hAnsi="Times New Roman"/>
          <w:i/>
          <w:iCs/>
          <w:color w:val="131413"/>
          <w:sz w:val="20"/>
          <w:szCs w:val="20"/>
          <w:lang w:eastAsia="en-US"/>
        </w:rPr>
        <w:t>compact</w:t>
      </w:r>
      <w:r>
        <w:rPr>
          <w:rFonts w:ascii="Times New Roman" w:hAnsi="Times New Roman"/>
          <w:i/>
          <w:iCs/>
          <w:color w:val="131413"/>
          <w:sz w:val="20"/>
          <w:szCs w:val="20"/>
          <w:lang w:eastAsia="en-US"/>
        </w:rPr>
        <w:t xml:space="preserve"> PCB </w:t>
      </w:r>
      <w:r>
        <w:rPr>
          <w:rFonts w:ascii="Times New Roman" w:hAnsi="Times New Roman"/>
          <w:i/>
          <w:iCs/>
          <w:color w:val="131413"/>
          <w:sz w:val="20"/>
          <w:szCs w:val="20"/>
          <w:lang w:eastAsia="en-US"/>
        </w:rPr>
        <w:t>for 256-channel sensor readout</w:t>
      </w:r>
    </w:p>
    <w:p>
      <w:pPr>
        <w:pStyle w:val="Normal"/>
        <w:rPr/>
      </w:pPr>
      <w:r>
        <w:rPr/>
      </w:r>
    </w:p>
    <w:p>
      <w:pPr>
        <w:pStyle w:val="Normal"/>
        <w:rPr/>
      </w:pPr>
      <w:r>
        <w:rPr/>
        <w:t>P</w:t>
      </w:r>
      <w:r>
        <w:rPr/>
        <w:t>resently the whole FLAME based readout system, including FLAME chips, compact readout PCBs and data acquisition system (DAQ) is being assembled in order to be used in the next beamtest.</w:t>
      </w:r>
    </w:p>
    <w:p>
      <w:pPr>
        <w:pStyle w:val="Normal"/>
        <w:rPr/>
      </w:pPr>
      <w:r>
        <w:rPr/>
      </w:r>
    </w:p>
    <w:p>
      <w:pPr>
        <w:pStyle w:val="Heading1"/>
        <w:pageBreakBefore w:val="false"/>
        <w:numPr>
          <w:ilvl w:val="0"/>
          <w:numId w:val="2"/>
        </w:numPr>
        <w:rPr/>
      </w:pPr>
      <w:bookmarkStart w:id="18" w:name="__DdeLink__2849_1345168093"/>
      <w:bookmarkStart w:id="19" w:name="_Toc285912675"/>
      <w:r>
        <w:rPr/>
        <w:t>C</w:t>
      </w:r>
      <w:bookmarkEnd w:id="18"/>
      <w:bookmarkEnd w:id="19"/>
      <w:r>
        <w:rPr/>
        <w:t xml:space="preserve">onstruction of calorimeter </w:t>
      </w:r>
      <w:r>
        <w:rPr/>
        <w:t>and beamtest set-up</w:t>
      </w:r>
    </w:p>
    <w:p>
      <w:pPr>
        <w:pStyle w:val="Normal"/>
        <w:rPr>
          <w:color w:val="131413"/>
          <w:lang w:eastAsia="en-US"/>
        </w:rPr>
      </w:pPr>
      <w:bookmarkStart w:id="20" w:name="__DdeLink__2849_13451680931"/>
      <w:bookmarkStart w:id="21" w:name="_Toc2859126752"/>
      <w:bookmarkStart w:id="22" w:name="__DdeLink__2849_13451680931"/>
      <w:bookmarkStart w:id="23" w:name="_Toc2859126752"/>
      <w:bookmarkEnd w:id="22"/>
      <w:bookmarkEnd w:id="23"/>
      <w:r>
        <w:rPr>
          <w:rFonts w:ascii="Times New Roman" w:hAnsi="Times New Roman"/>
          <w:sz w:val="24"/>
          <w:szCs w:val="24"/>
        </w:rPr>
      </w:r>
    </w:p>
    <w:p>
      <w:pPr>
        <w:pStyle w:val="Normal"/>
        <w:rPr>
          <w:color w:val="131413"/>
          <w:lang w:eastAsia="en-US"/>
        </w:rPr>
      </w:pPr>
      <w:r>
        <w:rPr>
          <w:rFonts w:ascii="Times New Roman" w:hAnsi="Times New Roman"/>
          <w:sz w:val="24"/>
          <w:szCs w:val="24"/>
        </w:rP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3374390" cy="2555240"/>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1"/>
                    <a:stretch>
                      <a:fillRect/>
                    </a:stretch>
                  </pic:blipFill>
                  <pic:spPr bwMode="auto">
                    <a:xfrm>
                      <a:off x="0" y="0"/>
                      <a:ext cx="3374390" cy="2555240"/>
                    </a:xfrm>
                    <a:prstGeom prst="rect">
                      <a:avLst/>
                    </a:prstGeom>
                  </pic:spPr>
                </pic:pic>
              </a:graphicData>
            </a:graphic>
          </wp:anchor>
        </w:drawing>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Caption1"/>
        <w:jc w:val="center"/>
        <w:rPr>
          <w:i/>
          <w:i/>
          <w:iCs/>
          <w:color w:val="131413"/>
          <w:sz w:val="20"/>
          <w:szCs w:val="20"/>
          <w:lang w:eastAsia="en-US"/>
        </w:rPr>
      </w:pPr>
      <w:r>
        <w:rPr>
          <w:rFonts w:ascii="Times New Roman" w:hAnsi="Times New Roman"/>
          <w:sz w:val="24"/>
          <w:szCs w:val="24"/>
        </w:rPr>
      </w:r>
    </w:p>
    <w:p>
      <w:pPr>
        <w:pStyle w:val="Caption1"/>
        <w:jc w:val="center"/>
        <w:rPr>
          <w:i/>
          <w:i/>
          <w:iCs/>
          <w:color w:val="131413"/>
          <w:sz w:val="20"/>
          <w:szCs w:val="20"/>
          <w:lang w:eastAsia="en-US"/>
        </w:rPr>
      </w:pPr>
      <w:r>
        <w:rPr>
          <w:rFonts w:ascii="Times New Roman" w:hAnsi="Times New Roman"/>
          <w:sz w:val="24"/>
          <w:szCs w:val="24"/>
        </w:rPr>
      </w:r>
    </w:p>
    <w:p>
      <w:pPr>
        <w:pStyle w:val="Caption1"/>
        <w:jc w:val="center"/>
        <w:rPr>
          <w:rFonts w:ascii="Times New Roman" w:hAnsi="Times New Roman"/>
          <w:sz w:val="24"/>
          <w:szCs w:val="24"/>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9</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Top view of assembled calorimeter</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color w:val="131413"/>
          <w:sz w:val="24"/>
          <w:szCs w:val="24"/>
          <w:lang w:eastAsia="en-US"/>
        </w:rPr>
        <w:t>A compact calorimeter demonstrator was built using the d</w:t>
      </w:r>
      <w:r>
        <w:rPr>
          <w:rFonts w:ascii="Times New Roman" w:hAnsi="Times New Roman"/>
          <w:color w:val="131413"/>
          <w:sz w:val="24"/>
          <w:szCs w:val="24"/>
          <w:lang w:eastAsia="en-US"/>
        </w:rPr>
        <w:t>iscussed above</w:t>
      </w:r>
      <w:r>
        <w:rPr>
          <w:rFonts w:ascii="Times New Roman" w:hAnsi="Times New Roman"/>
          <w:color w:val="131413"/>
          <w:sz w:val="24"/>
          <w:szCs w:val="24"/>
          <w:lang w:eastAsia="en-US"/>
        </w:rPr>
        <w:t xml:space="preserve"> key components. </w:t>
      </w:r>
      <w:r>
        <w:rPr>
          <w:rFonts w:ascii="Times New Roman" w:hAnsi="Times New Roman"/>
          <w:color w:val="131413"/>
          <w:sz w:val="24"/>
          <w:szCs w:val="24"/>
          <w:lang w:eastAsia="en-US"/>
        </w:rPr>
        <w:t xml:space="preserve">The </w:t>
      </w:r>
      <w:r>
        <w:rPr>
          <w:rFonts w:ascii="Times New Roman" w:hAnsi="Times New Roman"/>
          <w:color w:val="131413"/>
          <w:sz w:val="24"/>
          <w:szCs w:val="24"/>
          <w:lang w:eastAsia="en-US"/>
        </w:rPr>
        <w:t>thin</w:t>
      </w:r>
      <w:r>
        <w:rPr>
          <w:rFonts w:ascii="Times New Roman" w:hAnsi="Times New Roman"/>
          <w:color w:val="131413"/>
          <w:sz w:val="24"/>
          <w:szCs w:val="24"/>
          <w:lang w:eastAsia="en-US"/>
        </w:rPr>
        <w:t xml:space="preserve"> detector planes were installed in the 1-mm gap between </w:t>
      </w:r>
      <w:r>
        <w:rPr>
          <w:rFonts w:ascii="Times New Roman" w:hAnsi="Times New Roman"/>
          <w:color w:val="131413"/>
          <w:sz w:val="24"/>
          <w:szCs w:val="24"/>
        </w:rPr>
        <w:t xml:space="preserve">the tungsten absorber layers, </w:t>
      </w:r>
      <w:r>
        <w:rPr>
          <w:rFonts w:ascii="Times New Roman" w:hAnsi="Times New Roman"/>
          <w:color w:val="131413"/>
          <w:sz w:val="24"/>
          <w:szCs w:val="24"/>
        </w:rPr>
        <w:t xml:space="preserve">inside previously developed </w:t>
      </w:r>
      <w:r>
        <w:rPr>
          <w:rFonts w:ascii="Times New Roman" w:hAnsi="Times New Roman"/>
          <w:color w:val="131413"/>
          <w:sz w:val="24"/>
          <w:szCs w:val="24"/>
        </w:rPr>
        <w:t>[1]</w:t>
      </w:r>
      <w:r>
        <w:rPr>
          <w:rFonts w:ascii="Times New Roman" w:hAnsi="Times New Roman"/>
          <w:color w:val="131413"/>
          <w:sz w:val="24"/>
          <w:szCs w:val="24"/>
        </w:rPr>
        <w:t xml:space="preserve"> precise mechanical frame, as seen in Fig. </w:t>
      </w:r>
      <w:r>
        <w:rPr>
          <w:rFonts w:ascii="Times New Roman" w:hAnsi="Times New Roman"/>
          <w:color w:val="131413"/>
          <w:sz w:val="24"/>
          <w:szCs w:val="24"/>
        </w:rPr>
        <w:t>9</w:t>
      </w:r>
      <w:r>
        <w:rPr>
          <w:rFonts w:ascii="Times New Roman" w:hAnsi="Times New Roman"/>
          <w:color w:val="131413"/>
          <w:sz w:val="24"/>
          <w:szCs w:val="24"/>
        </w:rPr>
        <w:t xml:space="preserve">. Each tungsten absorber layer is on average 3.5 mm thick and roughly one radiation length (1 X0). As </w:t>
      </w:r>
      <w:r>
        <w:rPr>
          <w:rFonts w:ascii="Times New Roman" w:hAnsi="Times New Roman"/>
          <w:color w:val="131413"/>
          <w:sz w:val="24"/>
          <w:szCs w:val="24"/>
        </w:rPr>
        <w:t>shown</w:t>
      </w:r>
      <w:r>
        <w:rPr>
          <w:rFonts w:ascii="Times New Roman" w:hAnsi="Times New Roman"/>
          <w:color w:val="131413"/>
          <w:sz w:val="24"/>
          <w:szCs w:val="24"/>
        </w:rPr>
        <w:t xml:space="preserve"> in Fig. </w:t>
      </w:r>
      <w:r>
        <w:rPr>
          <w:rFonts w:ascii="Times New Roman" w:hAnsi="Times New Roman"/>
          <w:color w:val="131413"/>
          <w:sz w:val="24"/>
          <w:szCs w:val="24"/>
        </w:rPr>
        <w:t>10</w:t>
      </w:r>
      <w:r>
        <w:rPr>
          <w:rFonts w:ascii="Times New Roman" w:hAnsi="Times New Roman"/>
          <w:color w:val="131413"/>
          <w:sz w:val="24"/>
          <w:szCs w:val="24"/>
        </w:rPr>
        <w:t xml:space="preserve">, the first calorimeter sensor layer was placed after 3 absorber layers, and the rest followed after each additional absorber layer. The last sensor layer was placed after 8 absorber layers with a total thickness of 7.7 X0 since, as noted in </w:t>
      </w:r>
      <w:r>
        <w:rPr>
          <w:rFonts w:ascii="Times New Roman" w:hAnsi="Times New Roman"/>
          <w:color w:val="131413"/>
          <w:sz w:val="24"/>
          <w:szCs w:val="24"/>
        </w:rPr>
        <w:t>[1</w:t>
      </w:r>
      <w:r>
        <w:rPr>
          <w:rFonts w:ascii="Times New Roman" w:hAnsi="Times New Roman"/>
          <w:color w:val="131413"/>
          <w:sz w:val="24"/>
          <w:szCs w:val="24"/>
        </w:rPr>
        <w:t xml:space="preserve">], the absorber layers are not pure tungsten. </w:t>
      </w:r>
    </w:p>
    <w:p>
      <w:pPr>
        <w:pStyle w:val="Normal"/>
        <w:rPr>
          <w:color w:val="131413"/>
        </w:rPr>
      </w:pPr>
      <w:r>
        <w:rPr>
          <w:rFonts w:ascii="Times New Roman" w:hAnsi="Times New Roman"/>
          <w:sz w:val="24"/>
          <w:szCs w:val="24"/>
        </w:rPr>
        <w:drawing>
          <wp:anchor behindDoc="0" distT="0" distB="0" distL="0" distR="0" simplePos="0" locked="0" layoutInCell="1" allowOverlap="1" relativeHeight="21">
            <wp:simplePos x="0" y="0"/>
            <wp:positionH relativeFrom="column">
              <wp:posOffset>692785</wp:posOffset>
            </wp:positionH>
            <wp:positionV relativeFrom="paragraph">
              <wp:posOffset>120015</wp:posOffset>
            </wp:positionV>
            <wp:extent cx="5095875" cy="1676400"/>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2"/>
                    <a:stretch>
                      <a:fillRect/>
                    </a:stretch>
                  </pic:blipFill>
                  <pic:spPr bwMode="auto">
                    <a:xfrm>
                      <a:off x="0" y="0"/>
                      <a:ext cx="5095875" cy="1676400"/>
                    </a:xfrm>
                    <a:prstGeom prst="rect">
                      <a:avLst/>
                    </a:prstGeom>
                  </pic:spPr>
                </pic:pic>
              </a:graphicData>
            </a:graphic>
          </wp:anchor>
        </w:drawing>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Normal"/>
        <w:rPr>
          <w:color w:val="131413"/>
        </w:rPr>
      </w:pPr>
      <w:r>
        <w:rPr>
          <w:rFonts w:ascii="Times New Roman" w:hAnsi="Times New Roman"/>
          <w:sz w:val="24"/>
          <w:szCs w:val="24"/>
        </w:rPr>
      </w:r>
    </w:p>
    <w:p>
      <w:pPr>
        <w:pStyle w:val="Caption1"/>
        <w:jc w:val="center"/>
        <w:rPr>
          <w:rFonts w:ascii="Times New Roman" w:hAnsi="Times New Roman"/>
          <w:sz w:val="24"/>
          <w:szCs w:val="24"/>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1</w:t>
      </w:r>
      <w:r>
        <w:rPr>
          <w:rFonts w:ascii="Times New Roman" w:hAnsi="Times New Roman"/>
          <w:i/>
          <w:iCs/>
          <w:color w:val="131413"/>
          <w:sz w:val="20"/>
          <w:szCs w:val="20"/>
          <w:lang w:eastAsia="en-US"/>
        </w:rPr>
        <w:t>0</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Geometry of the beamtest setup</w:t>
      </w:r>
    </w:p>
    <w:p>
      <w:pPr>
        <w:pStyle w:val="Normal"/>
        <w:rPr>
          <w:color w:val="131413"/>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color w:val="131413"/>
          <w:sz w:val="24"/>
          <w:szCs w:val="24"/>
        </w:rPr>
        <w:t>The detector planes were tested in two beam test campaigns in 2015 and 2016 at the DESY-II Synchrotron using electrons with energies between 1 and 5 GeV.</w:t>
      </w:r>
      <w:bookmarkStart w:id="24" w:name="__UnoMark__4049_1345168093"/>
      <w:bookmarkEnd w:id="24"/>
      <w:r>
        <w:rPr>
          <w:rFonts w:ascii="Times New Roman" w:hAnsi="Times New Roman"/>
          <w:color w:val="131413"/>
          <w:sz w:val="24"/>
          <w:szCs w:val="24"/>
        </w:rPr>
        <w:t xml:space="preserve"> </w:t>
      </w:r>
      <w:r>
        <w:rPr>
          <w:rFonts w:ascii="Times new Roman" w:hAnsi="Times new Roman"/>
          <w:color w:val="131413"/>
          <w:sz w:val="24"/>
          <w:szCs w:val="24"/>
        </w:rPr>
        <w:t xml:space="preserve">Since </w:t>
      </w:r>
      <w:r>
        <w:rPr>
          <w:rFonts w:ascii="Times new Roman" w:hAnsi="Times new Roman"/>
          <w:color w:val="131413"/>
          <w:sz w:val="24"/>
          <w:szCs w:val="24"/>
        </w:rPr>
        <w:t>at that time</w:t>
      </w:r>
      <w:r>
        <w:rPr>
          <w:rFonts w:ascii="Times new Roman" w:hAnsi="Times new Roman"/>
          <w:color w:val="131413"/>
          <w:sz w:val="24"/>
          <w:szCs w:val="24"/>
        </w:rPr>
        <w:t xml:space="preserve"> the multi-channel version of the </w:t>
      </w:r>
      <w:r>
        <w:rPr>
          <w:rFonts w:ascii="Times new Roman" w:hAnsi="Times new Roman"/>
          <w:color w:val="131413"/>
          <w:sz w:val="24"/>
          <w:szCs w:val="24"/>
        </w:rPr>
        <w:t>FLAME-based</w:t>
      </w:r>
      <w:r>
        <w:rPr>
          <w:rFonts w:ascii="Times new Roman" w:hAnsi="Times new Roman"/>
          <w:color w:val="131413"/>
          <w:sz w:val="24"/>
          <w:szCs w:val="24"/>
        </w:rPr>
        <w:t xml:space="preserve"> dedicated front-end electronics </w:t>
      </w:r>
      <w:r>
        <w:rPr>
          <w:rFonts w:ascii="Times new Roman" w:hAnsi="Times new Roman"/>
          <w:color w:val="131413"/>
          <w:sz w:val="24"/>
          <w:szCs w:val="24"/>
        </w:rPr>
        <w:t>wa</w:t>
      </w:r>
      <w:r>
        <w:rPr>
          <w:rFonts w:ascii="Times new Roman" w:hAnsi="Times new Roman"/>
          <w:color w:val="131413"/>
          <w:sz w:val="24"/>
          <w:szCs w:val="24"/>
        </w:rPr>
        <w:t xml:space="preserve">s still under development, the APV25 front-end board </w:t>
      </w:r>
      <w:r>
        <w:rPr>
          <w:rFonts w:ascii="Times new Roman" w:hAnsi="Times new Roman"/>
          <w:color w:val="131413"/>
          <w:sz w:val="24"/>
          <w:szCs w:val="24"/>
        </w:rPr>
        <w:t>[6</w:t>
      </w:r>
      <w:r>
        <w:rPr>
          <w:rFonts w:ascii="Times new Roman" w:hAnsi="Times new Roman"/>
          <w:color w:val="131413"/>
          <w:sz w:val="24"/>
          <w:szCs w:val="24"/>
        </w:rPr>
        <w:t xml:space="preserve">], used by the silicon strip detector of the CMS experiment, was chosen as a temporary solution </w:t>
      </w:r>
      <w:r>
        <w:rPr>
          <w:rFonts w:ascii="Times new Roman" w:hAnsi="Times new Roman"/>
          <w:color w:val="131413"/>
          <w:sz w:val="24"/>
          <w:szCs w:val="24"/>
        </w:rPr>
        <w:t>for first beamtests</w:t>
      </w:r>
      <w:r>
        <w:rPr>
          <w:rFonts w:ascii="Times new Roman" w:hAnsi="Times new Roman"/>
          <w:color w:val="131413"/>
          <w:sz w:val="24"/>
          <w:szCs w:val="24"/>
        </w:rPr>
        <w:t xml:space="preserve">. It has 128 channels, hence two boards </w:t>
      </w:r>
      <w:r>
        <w:rPr>
          <w:rFonts w:ascii="Times new Roman" w:hAnsi="Times new Roman"/>
          <w:color w:val="131413"/>
          <w:sz w:val="24"/>
          <w:szCs w:val="24"/>
        </w:rPr>
        <w:t>were used to</w:t>
      </w:r>
      <w:r>
        <w:rPr>
          <w:rFonts w:ascii="Times new Roman" w:hAnsi="Times new Roman"/>
          <w:color w:val="131413"/>
          <w:sz w:val="24"/>
          <w:szCs w:val="24"/>
        </w:rPr>
        <w:t xml:space="preserve"> read the whole sensor </w:t>
      </w:r>
      <w:r>
        <w:rPr>
          <w:rFonts w:ascii="Times new Roman" w:hAnsi="Times new Roman"/>
          <w:color w:val="131413"/>
          <w:sz w:val="24"/>
          <w:szCs w:val="24"/>
        </w:rPr>
        <w:t>layer</w:t>
      </w:r>
      <w:r>
        <w:rPr>
          <w:rFonts w:ascii="Times new Roman" w:hAnsi="Times new Roman"/>
          <w:color w:val="131413"/>
          <w:sz w:val="24"/>
          <w:szCs w:val="24"/>
        </w:rPr>
        <w:t>.</w:t>
      </w:r>
    </w:p>
    <w:p>
      <w:pPr>
        <w:pStyle w:val="Normal"/>
        <w:rPr>
          <w:lang w:eastAsia="en-US"/>
        </w:rPr>
      </w:pPr>
      <w:r>
        <w:rPr>
          <w:rFonts w:ascii="Times New Roman" w:hAnsi="Times New Roman"/>
          <w:sz w:val="24"/>
          <w:szCs w:val="24"/>
        </w:rPr>
      </w:r>
    </w:p>
    <w:p>
      <w:pPr>
        <w:pStyle w:val="Heading1"/>
        <w:pageBreakBefore w:val="false"/>
        <w:numPr>
          <w:ilvl w:val="0"/>
          <w:numId w:val="2"/>
        </w:numPr>
        <w:rPr/>
      </w:pPr>
      <w:bookmarkStart w:id="25" w:name="__DdeLink__2849_13451680932"/>
      <w:bookmarkStart w:id="26" w:name="_Toc2859126753"/>
      <w:bookmarkEnd w:id="25"/>
      <w:bookmarkEnd w:id="26"/>
      <w:r>
        <w:rPr>
          <w:lang w:eastAsia="en-US"/>
        </w:rPr>
        <w:t>Validation at beamtests</w:t>
      </w:r>
    </w:p>
    <w:p>
      <w:pPr>
        <w:pStyle w:val="Normal"/>
        <w:rPr>
          <w:color w:val="131413"/>
          <w:lang w:eastAsia="en-US"/>
        </w:rPr>
      </w:pPr>
      <w:r>
        <w:rPr>
          <w:rFonts w:ascii="Times New Roman" w:hAnsi="Times New Roman"/>
          <w:sz w:val="24"/>
          <w:szCs w:val="24"/>
        </w:rPr>
      </w:r>
    </w:p>
    <w:p>
      <w:pPr>
        <w:pStyle w:val="Normal"/>
        <w:rPr/>
      </w:pPr>
      <w:r>
        <w:rPr>
          <w:rFonts w:ascii="Times New Roman" w:hAnsi="Times New Roman"/>
          <w:color w:val="000000"/>
          <w:sz w:val="24"/>
          <w:szCs w:val="24"/>
          <w:lang w:eastAsia="en-US"/>
        </w:rPr>
        <w:t xml:space="preserve">The testbeam campaigns were done to study the performance of the </w:t>
      </w:r>
      <w:r>
        <w:rPr>
          <w:rFonts w:ascii="Times New Roman" w:hAnsi="Times New Roman"/>
          <w:color w:val="000000"/>
          <w:sz w:val="24"/>
          <w:szCs w:val="24"/>
        </w:rPr>
        <w:t xml:space="preserve">compact calorimeter </w:t>
      </w:r>
      <w:r>
        <w:rPr>
          <w:rFonts w:ascii="Times New Roman" w:hAnsi="Times New Roman"/>
          <w:color w:val="000000"/>
          <w:sz w:val="24"/>
          <w:szCs w:val="24"/>
        </w:rPr>
        <w:t xml:space="preserve">demonstrator </w:t>
      </w:r>
      <w:r>
        <w:rPr>
          <w:rFonts w:ascii="Times New Roman" w:hAnsi="Times New Roman"/>
          <w:color w:val="000000"/>
          <w:sz w:val="24"/>
          <w:szCs w:val="24"/>
        </w:rPr>
        <w:t xml:space="preserve">and to test the concept of tracking detectors in front of the calorimeter as a tool for electron and photon identification. In order to analyse the electromagnetic shower development, the deposited energy in each sensor plane was obtained. The measurement results from the test beam were compared with prediction of GEANT4 Monte Carlo simulations where the experimental setup was implemented. </w:t>
      </w:r>
    </w:p>
    <w:p>
      <w:pPr>
        <w:pStyle w:val="Normal"/>
        <w:rPr>
          <w:rFonts w:ascii="Times New Roman" w:hAnsi="Times New Roman"/>
          <w:sz w:val="24"/>
          <w:szCs w:val="24"/>
        </w:rPr>
      </w:pPr>
      <w:r>
        <w:rPr>
          <w:rFonts w:ascii="Times New Roman" w:hAnsi="Times New Roman"/>
          <w:color w:val="000000"/>
          <w:sz w:val="24"/>
          <w:szCs w:val="24"/>
        </w:rPr>
        <w:t>The measurement of the effective Moli</w:t>
      </w:r>
      <w:r>
        <w:rPr>
          <w:rFonts w:ascii="Times New Roman" w:hAnsi="Times New Roman"/>
          <w:color w:val="000000"/>
          <w:sz w:val="24"/>
          <w:szCs w:val="24"/>
        </w:rPr>
        <w:t>e</w:t>
      </w:r>
      <w:r>
        <w:rPr>
          <w:rFonts w:ascii="Times New Roman" w:hAnsi="Times New Roman"/>
          <w:sz w:val="24"/>
          <w:szCs w:val="24"/>
        </w:rPr>
        <w:t>re radius was carried out for energies between 1 and 5 GeV following the steps described in</w:t>
      </w:r>
      <w:r>
        <w:rPr>
          <w:rFonts w:ascii="Times New Roman" w:hAnsi="Times New Roman"/>
          <w:color w:val="000000"/>
          <w:sz w:val="24"/>
          <w:szCs w:val="24"/>
        </w:rPr>
        <w:t xml:space="preserve"> Ref. </w:t>
      </w:r>
      <w:r>
        <w:rPr>
          <w:rFonts w:ascii="Times New Roman" w:hAnsi="Times New Roman"/>
          <w:color w:val="000000"/>
          <w:sz w:val="24"/>
          <w:szCs w:val="24"/>
        </w:rPr>
        <w:t>[7]</w:t>
      </w:r>
      <w:r>
        <w:rPr>
          <w:rFonts w:ascii="Times New Roman" w:hAnsi="Times New Roman"/>
          <w:color w:val="000000"/>
          <w:sz w:val="24"/>
          <w:szCs w:val="24"/>
        </w:rPr>
        <w:t xml:space="preserve">. The transverse shower profile at 1, 3 and 5 GeV beam energy, as a function of the distance from the core, in units of pad dimensions (1.8 mm) for the data and fit function, is presented in </w:t>
      </w:r>
      <w:r>
        <w:rPr>
          <w:rFonts w:ascii="Times New Roman" w:hAnsi="Times New Roman"/>
          <w:color w:val="000000"/>
          <w:sz w:val="24"/>
          <w:szCs w:val="24"/>
        </w:rPr>
        <w:t>Fig. 1</w:t>
      </w:r>
      <w:r>
        <w:rPr>
          <w:rFonts w:ascii="Times New Roman" w:hAnsi="Times New Roman"/>
          <w:color w:val="000000"/>
          <w:sz w:val="24"/>
          <w:szCs w:val="24"/>
        </w:rPr>
        <w:t>1</w:t>
      </w:r>
      <w:r>
        <w:rPr>
          <w:rFonts w:ascii="Times New Roman" w:hAnsi="Times New Roman"/>
          <w:color w:val="000000"/>
          <w:sz w:val="24"/>
          <w:szCs w:val="24"/>
        </w:rPr>
        <w:t xml:space="preserve"> </w:t>
      </w:r>
      <w:r>
        <w:rPr>
          <w:rFonts w:ascii="Times New Roman" w:hAnsi="Times New Roman"/>
          <w:color w:val="000000"/>
          <w:sz w:val="24"/>
          <w:szCs w:val="24"/>
        </w:rPr>
        <w:t>[7]</w:t>
      </w:r>
      <w:r>
        <w:rPr>
          <w:rFonts w:ascii="Times New Roman" w:hAnsi="Times New Roman"/>
          <w:color w:val="000000"/>
          <w:sz w:val="24"/>
          <w:szCs w:val="24"/>
        </w:rPr>
        <w:t xml:space="preserve">. The fitted function reproduces the experimental transverse shower profile with an accuracy better than 5%.The average deposited energies are lower at lower beam energies, </w:t>
      </w:r>
      <w:r>
        <w:rPr>
          <w:rFonts w:ascii="Times New Roman" w:hAnsi="Times New Roman"/>
          <w:sz w:val="24"/>
          <w:szCs w:val="24"/>
        </w:rPr>
        <w:t>and the distributions are wider, resulting in a larger value of the effective Moli</w:t>
      </w:r>
      <w:r>
        <w:rPr>
          <w:rFonts w:ascii="Times New Roman" w:hAnsi="Times New Roman"/>
          <w:sz w:val="24"/>
          <w:szCs w:val="24"/>
        </w:rPr>
        <w:t>e</w:t>
      </w:r>
      <w:r>
        <w:rPr>
          <w:rFonts w:ascii="Times New Roman" w:hAnsi="Times New Roman"/>
          <w:sz w:val="24"/>
          <w:szCs w:val="24"/>
        </w:rPr>
        <w:t>re radius, an effect which can be explained with different fractions of shower leakage. The effective Moli</w:t>
      </w:r>
      <w:r>
        <w:rPr>
          <w:rFonts w:ascii="Times New Roman" w:hAnsi="Times New Roman"/>
          <w:sz w:val="24"/>
          <w:szCs w:val="24"/>
        </w:rPr>
        <w:t>e</w:t>
      </w:r>
      <w:r>
        <w:rPr>
          <w:rFonts w:ascii="Times New Roman" w:hAnsi="Times New Roman"/>
          <w:sz w:val="24"/>
          <w:szCs w:val="24"/>
        </w:rPr>
        <w:t>re radius is 8.1 ± 0.1 mm for 5 GeV energy, a value well reproduced by the MC simulation 8.4 ± 0.1 mm. The data are well described by the results of simulations.</w:t>
      </w:r>
    </w:p>
    <w:p>
      <w:pPr>
        <w:pStyle w:val="Normal"/>
        <w:rPr>
          <w:color w:val="131413"/>
          <w:lang w:eastAsia="en-US"/>
        </w:rPr>
      </w:pPr>
      <w:r>
        <w:rPr>
          <w:rFonts w:ascii="Times New Roman" w:hAnsi="Times New Roman"/>
          <w:sz w:val="24"/>
          <w:szCs w:val="24"/>
        </w:rPr>
        <w:drawing>
          <wp:anchor behindDoc="0" distT="0" distB="0" distL="0" distR="0" simplePos="0" locked="0" layoutInCell="1" allowOverlap="1" relativeHeight="24">
            <wp:simplePos x="0" y="0"/>
            <wp:positionH relativeFrom="column">
              <wp:posOffset>1703070</wp:posOffset>
            </wp:positionH>
            <wp:positionV relativeFrom="paragraph">
              <wp:posOffset>169545</wp:posOffset>
            </wp:positionV>
            <wp:extent cx="2714625" cy="2857500"/>
            <wp:effectExtent l="0" t="0" r="0" b="0"/>
            <wp:wrapSquare wrapText="largest"/>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3"/>
                    <a:stretch>
                      <a:fillRect/>
                    </a:stretch>
                  </pic:blipFill>
                  <pic:spPr bwMode="auto">
                    <a:xfrm>
                      <a:off x="0" y="0"/>
                      <a:ext cx="2714625" cy="2857500"/>
                    </a:xfrm>
                    <a:prstGeom prst="rect">
                      <a:avLst/>
                    </a:prstGeom>
                  </pic:spPr>
                </pic:pic>
              </a:graphicData>
            </a:graphic>
          </wp:anchor>
        </w:drawing>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Normal"/>
        <w:rPr>
          <w:color w:val="131413"/>
          <w:lang w:eastAsia="en-US"/>
        </w:rPr>
      </w:pPr>
      <w:r>
        <w:rPr>
          <w:rFonts w:ascii="Times New Roman" w:hAnsi="Times New Roman"/>
          <w:sz w:val="24"/>
          <w:szCs w:val="24"/>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pStyle w:val="Caption1"/>
        <w:jc w:val="center"/>
        <w:rPr>
          <w:rFonts w:ascii="Times New Roman" w:hAnsi="Times New Roman"/>
          <w:i/>
          <w:i/>
          <w:iCs/>
          <w:color w:val="131413"/>
          <w:sz w:val="20"/>
          <w:szCs w:val="20"/>
          <w:lang w:eastAsia="en-US"/>
        </w:rPr>
      </w:pPr>
      <w:r>
        <w:rPr/>
      </w:r>
    </w:p>
    <w:p>
      <w:pPr>
        <w:sectPr>
          <w:headerReference w:type="default" r:id="rId14"/>
          <w:headerReference w:type="first" r:id="rId15"/>
          <w:footerReference w:type="default" r:id="rId16"/>
          <w:footerReference w:type="first" r:id="rId17"/>
          <w:type w:val="nextPage"/>
          <w:pgSz w:w="11906" w:h="16838"/>
          <w:pgMar w:left="1134" w:right="1134" w:header="720" w:top="1134" w:footer="720" w:bottom="1134" w:gutter="0"/>
          <w:pgNumType w:fmt="decimal"/>
          <w:formProt w:val="false"/>
          <w:titlePg/>
          <w:textDirection w:val="lrTb"/>
          <w:docGrid w:type="default" w:linePitch="326" w:charSpace="4294961151"/>
        </w:sectPr>
        <w:pStyle w:val="Caption1"/>
        <w:jc w:val="center"/>
        <w:rPr/>
      </w:pPr>
      <w:r>
        <w:rPr>
          <w:rFonts w:ascii="Times New Roman" w:hAnsi="Times New Roman"/>
          <w:i/>
          <w:iCs/>
          <w:color w:val="131413"/>
          <w:sz w:val="20"/>
          <w:szCs w:val="20"/>
          <w:lang w:eastAsia="en-US"/>
        </w:rPr>
        <w:t xml:space="preserve">Fig. </w:t>
      </w:r>
      <w:r>
        <w:rPr>
          <w:rFonts w:ascii="Times New Roman" w:hAnsi="Times New Roman"/>
          <w:i/>
          <w:iCs/>
          <w:color w:val="131413"/>
          <w:sz w:val="20"/>
          <w:szCs w:val="20"/>
          <w:lang w:eastAsia="en-US"/>
        </w:rPr>
        <w:t>1</w:t>
      </w:r>
      <w:r>
        <w:rPr>
          <w:rFonts w:ascii="Times New Roman" w:hAnsi="Times New Roman"/>
          <w:i/>
          <w:iCs/>
          <w:color w:val="131413"/>
          <w:sz w:val="20"/>
          <w:szCs w:val="20"/>
          <w:lang w:eastAsia="en-US"/>
        </w:rPr>
        <w:t>1</w:t>
      </w:r>
      <w:r>
        <w:rPr>
          <w:rFonts w:ascii="Times New Roman" w:hAnsi="Times New Roman"/>
          <w:i/>
          <w:iCs/>
          <w:color w:val="131413"/>
          <w:sz w:val="20"/>
          <w:szCs w:val="20"/>
          <w:lang w:eastAsia="en-US"/>
        </w:rPr>
        <w:t xml:space="preserve"> </w:t>
      </w:r>
      <w:r>
        <w:rPr>
          <w:rFonts w:ascii="Times New Roman" w:hAnsi="Times New Roman"/>
          <w:i/>
          <w:iCs/>
          <w:color w:val="131413"/>
          <w:sz w:val="20"/>
          <w:szCs w:val="20"/>
          <w:lang w:eastAsia="en-US"/>
        </w:rPr>
        <w:t>Average transverse shower profile as a function of d</w:t>
      </w:r>
      <w:r>
        <w:rPr>
          <w:rFonts w:ascii="Times New Roman" w:hAnsi="Times New Roman"/>
          <w:sz w:val="20"/>
          <w:szCs w:val="20"/>
          <w:vertAlign w:val="subscript"/>
        </w:rPr>
        <w:t>core</w:t>
      </w:r>
      <w:r>
        <w:rPr>
          <w:rFonts w:ascii="Times New Roman" w:hAnsi="Times New Roman"/>
          <w:sz w:val="20"/>
          <w:szCs w:val="20"/>
        </w:rPr>
        <w:t xml:space="preserve"> in units of pads, for different beam energies. The lower portion of the figure displays the ratio between data and fit functions.</w:t>
      </w:r>
    </w:p>
    <w:p>
      <w:pPr>
        <w:pStyle w:val="Heading1"/>
        <w:numPr>
          <w:ilvl w:val="0"/>
          <w:numId w:val="2"/>
        </w:numPr>
        <w:rPr/>
      </w:pPr>
      <w:bookmarkStart w:id="33" w:name="_Toc413639805"/>
      <w:bookmarkStart w:id="34" w:name="_Toc127001217"/>
      <w:bookmarkStart w:id="35" w:name="_Toc130697443"/>
      <w:bookmarkStart w:id="36" w:name="_Toc285912678"/>
      <w:bookmarkStart w:id="37" w:name="_Toc2859126751"/>
      <w:bookmarkEnd w:id="36"/>
      <w:bookmarkEnd w:id="37"/>
      <w:bookmarkEnd w:id="33"/>
      <w:bookmarkEnd w:id="34"/>
      <w:bookmarkEnd w:id="35"/>
      <w:r>
        <w:rPr/>
        <w:t>FUTURE PLANS / Conclusion / relation to other AIDA-2020 work</w:t>
      </w:r>
    </w:p>
    <w:p>
      <w:pPr>
        <w:pStyle w:val="Normal"/>
        <w:rPr>
          <w:rFonts w:ascii="Times New Roman" w:hAnsi="Times New Roman"/>
          <w:sz w:val="24"/>
          <w:szCs w:val="24"/>
        </w:rPr>
      </w:pPr>
      <w:r>
        <w:rPr>
          <w:rFonts w:ascii="Times New Roman" w:hAnsi="Times New Roman"/>
          <w:sz w:val="24"/>
          <w:szCs w:val="24"/>
          <w:lang w:eastAsia="en-US"/>
        </w:rPr>
        <w:t>The highly compact</w:t>
      </w:r>
      <w:r>
        <w:rPr>
          <w:rFonts w:ascii="Times New Roman" w:hAnsi="Times New Roman"/>
          <w:sz w:val="24"/>
          <w:szCs w:val="24"/>
        </w:rPr>
        <w:t xml:space="preserve"> multi-layer </w:t>
      </w:r>
      <w:r>
        <w:rPr>
          <w:rFonts w:ascii="Times New Roman" w:hAnsi="Times New Roman"/>
          <w:sz w:val="24"/>
          <w:szCs w:val="24"/>
        </w:rPr>
        <w:t>calorimeter demonstrator</w:t>
      </w:r>
      <w:r>
        <w:rPr>
          <w:rFonts w:ascii="Times New Roman" w:hAnsi="Times New Roman"/>
          <w:sz w:val="24"/>
          <w:szCs w:val="24"/>
        </w:rPr>
        <w:t xml:space="preserve"> was </w:t>
      </w:r>
      <w:r>
        <w:rPr>
          <w:rFonts w:ascii="Times New Roman" w:hAnsi="Times New Roman"/>
          <w:sz w:val="24"/>
          <w:szCs w:val="24"/>
        </w:rPr>
        <w:t>built within AIDA-2020 project and</w:t>
      </w:r>
      <w:r>
        <w:rPr>
          <w:rFonts w:ascii="Times New Roman" w:hAnsi="Times New Roman"/>
          <w:sz w:val="24"/>
          <w:szCs w:val="24"/>
        </w:rPr>
        <w:t xml:space="preserve"> tested at the DESY II Synchrotron with an electron beam with energies between 1 and 5 GeV. Using new technology and expertise at each construction step, </w:t>
      </w:r>
      <w:r>
        <w:rPr>
          <w:rFonts w:ascii="Times New Roman" w:hAnsi="Times New Roman"/>
          <w:sz w:val="24"/>
          <w:szCs w:val="24"/>
        </w:rPr>
        <w:t>compact</w:t>
      </w:r>
      <w:r>
        <w:rPr>
          <w:rFonts w:ascii="Times New Roman" w:hAnsi="Times New Roman"/>
          <w:sz w:val="24"/>
          <w:szCs w:val="24"/>
        </w:rPr>
        <w:t xml:space="preserve"> detector </w:t>
      </w:r>
      <w:r>
        <w:rPr>
          <w:rFonts w:ascii="Times New Roman" w:hAnsi="Times New Roman"/>
          <w:sz w:val="24"/>
          <w:szCs w:val="24"/>
        </w:rPr>
        <w:t>layers</w:t>
      </w:r>
      <w:r>
        <w:rPr>
          <w:rFonts w:ascii="Times New Roman" w:hAnsi="Times New Roman"/>
          <w:sz w:val="24"/>
          <w:szCs w:val="24"/>
        </w:rPr>
        <w:t xml:space="preserve"> with less than 1mm thic</w:t>
      </w:r>
      <w:r>
        <w:rPr>
          <w:rFonts w:ascii="Times New Roman" w:hAnsi="Times New Roman"/>
          <w:sz w:val="24"/>
          <w:szCs w:val="24"/>
        </w:rPr>
        <w:t>kness, together with precise thin tungsten plates were developed</w:t>
      </w:r>
      <w:r>
        <w:rPr>
          <w:rFonts w:ascii="Times New Roman" w:hAnsi="Times New Roman"/>
          <w:sz w:val="24"/>
          <w:szCs w:val="24"/>
        </w:rPr>
        <w:t xml:space="preserve">. </w:t>
      </w:r>
      <w:r>
        <w:rPr>
          <w:rFonts w:ascii="Times New Roman" w:hAnsi="Times New Roman"/>
          <w:sz w:val="24"/>
          <w:szCs w:val="24"/>
        </w:rPr>
        <w:t>During the performed beamtest a temporary readout system, based on APV ASIC was used, since the dedicated FLAME ASIC readout system had been developed in parallel.</w:t>
      </w:r>
      <w:r>
        <w:rPr>
          <w:rFonts w:ascii="Times New Roman" w:hAnsi="Times New Roman"/>
          <w:sz w:val="24"/>
          <w:szCs w:val="24"/>
        </w:rPr>
        <w:t xml:space="preserve"> Measurements of transverse and longitudinal shower shapes were </w:t>
      </w:r>
      <w:r>
        <w:rPr>
          <w:rFonts w:ascii="Times New Roman" w:hAnsi="Times New Roman"/>
          <w:sz w:val="24"/>
          <w:szCs w:val="24"/>
        </w:rPr>
        <w:t>performed on the beam and</w:t>
      </w:r>
      <w:r>
        <w:rPr>
          <w:rFonts w:ascii="Times New Roman" w:hAnsi="Times New Roman"/>
          <w:sz w:val="24"/>
          <w:szCs w:val="24"/>
        </w:rPr>
        <w:t xml:space="preserve"> compared to a detailed MC simulation, and were found to be in good agreement with expectations. The effective Moli</w:t>
      </w:r>
      <w:r>
        <w:rPr>
          <w:rFonts w:ascii="Times New Roman" w:hAnsi="Times New Roman"/>
          <w:sz w:val="24"/>
          <w:szCs w:val="24"/>
        </w:rPr>
        <w:t>e</w:t>
      </w:r>
      <w:r>
        <w:rPr>
          <w:rFonts w:ascii="Times New Roman" w:hAnsi="Times New Roman"/>
          <w:sz w:val="24"/>
          <w:szCs w:val="24"/>
        </w:rPr>
        <w:t xml:space="preserve">re radius was determined to be 8.1 ± 0.1 mm. This value is close to the technological limit. </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The ultra</w:t>
      </w:r>
      <w:r>
        <w:rPr>
          <w:rFonts w:ascii="Times New Roman" w:hAnsi="Times New Roman"/>
          <w:sz w:val="24"/>
          <w:szCs w:val="24"/>
        </w:rPr>
        <w:t>-</w:t>
      </w:r>
      <w:r>
        <w:rPr>
          <w:rFonts w:ascii="Times New Roman" w:hAnsi="Times New Roman"/>
          <w:sz w:val="24"/>
          <w:szCs w:val="24"/>
        </w:rPr>
        <w:t xml:space="preserve">low power, </w:t>
      </w:r>
      <w:r>
        <w:rPr>
          <w:rFonts w:ascii="Times New Roman" w:hAnsi="Times New Roman"/>
          <w:sz w:val="24"/>
          <w:szCs w:val="24"/>
        </w:rPr>
        <w:t>dedicated</w:t>
      </w:r>
      <w:r>
        <w:rPr>
          <w:rFonts w:ascii="Times New Roman" w:hAnsi="Times New Roman"/>
          <w:sz w:val="24"/>
          <w:szCs w:val="24"/>
        </w:rPr>
        <w:t xml:space="preserve"> SoC type </w:t>
      </w:r>
      <w:r>
        <w:rPr>
          <w:rFonts w:ascii="Times New Roman" w:hAnsi="Times New Roman"/>
          <w:sz w:val="24"/>
          <w:szCs w:val="24"/>
        </w:rPr>
        <w:t>32-channel</w:t>
      </w:r>
      <w:r>
        <w:rPr>
          <w:rFonts w:ascii="Times New Roman" w:hAnsi="Times New Roman"/>
          <w:sz w:val="24"/>
          <w:szCs w:val="24"/>
        </w:rPr>
        <w:t xml:space="preserve"> front-end ASIC called FLAME </w:t>
      </w:r>
      <w:r>
        <w:rPr>
          <w:rFonts w:ascii="Times New Roman" w:hAnsi="Times New Roman"/>
          <w:sz w:val="24"/>
          <w:szCs w:val="24"/>
        </w:rPr>
        <w:t>was developed and produced as a core of the compact calorimeter readout system. A compact PCB board holding eight FLAME ASICs was also designed and fabricated. In the closest future a new beamtest of compact calorimeter demonstrator, inculing the final FLAME based readout sytem, will be performed.</w:t>
      </w:r>
      <w:r>
        <w:br w:type="page"/>
      </w:r>
    </w:p>
    <w:p>
      <w:pPr>
        <w:pStyle w:val="Heading1"/>
        <w:numPr>
          <w:ilvl w:val="0"/>
          <w:numId w:val="2"/>
        </w:numPr>
        <w:rPr>
          <w:lang w:eastAsia="en-US"/>
        </w:rPr>
      </w:pPr>
      <w:bookmarkStart w:id="38" w:name="_Toc285912679"/>
      <w:bookmarkEnd w:id="38"/>
      <w:r>
        <w:rPr>
          <w:lang w:eastAsia="en-US"/>
        </w:rPr>
        <w:t>References</w:t>
      </w:r>
    </w:p>
    <w:p>
      <w:pPr>
        <w:pStyle w:val="Normal"/>
        <w:rPr>
          <w:lang w:eastAsia="en-US"/>
        </w:rPr>
      </w:pPr>
      <w:r>
        <w:rPr/>
      </w:r>
    </w:p>
    <w:p>
      <w:pPr>
        <w:pStyle w:val="Normal"/>
        <w:rPr/>
      </w:pPr>
      <w:r>
        <w:rPr>
          <w:lang w:eastAsia="en-US"/>
        </w:rPr>
        <w:t>[</w:t>
      </w:r>
      <w:r>
        <w:rPr>
          <w:lang w:eastAsia="en-US"/>
        </w:rPr>
        <w:t>1</w:t>
      </w:r>
      <w:r>
        <w:rPr>
          <w:lang w:eastAsia="en-US"/>
        </w:rPr>
        <w:t>]</w:t>
      </w:r>
      <w:r>
        <w:rPr>
          <w:lang w:eastAsia="en-US"/>
        </w:rPr>
        <w:t xml:space="preserve"> </w:t>
      </w:r>
      <w:r>
        <w:rPr>
          <w:lang w:eastAsia="en-US"/>
        </w:rPr>
        <w:t xml:space="preserve">H. Abramowicz, et al., </w:t>
      </w:r>
      <w:r>
        <w:rPr>
          <w:i/>
          <w:iCs/>
          <w:lang w:eastAsia="en-US"/>
        </w:rPr>
        <w:t>Measurement of shower development and its Molière radius with a four-plane LumiCal test set-up</w:t>
      </w:r>
      <w:r>
        <w:rPr>
          <w:lang w:eastAsia="en-US"/>
        </w:rPr>
        <w:t>, The European Physical Journal C 78 (2018) 135</w:t>
      </w:r>
    </w:p>
    <w:p>
      <w:pPr>
        <w:pStyle w:val="Normal"/>
        <w:rPr/>
      </w:pPr>
      <w:r>
        <w:rPr>
          <w:lang w:eastAsia="en-US"/>
        </w:rPr>
        <w:t>[</w:t>
      </w:r>
      <w:r>
        <w:rPr>
          <w:lang w:eastAsia="en-US"/>
        </w:rPr>
        <w:t>2</w:t>
      </w:r>
      <w:r>
        <w:rPr>
          <w:lang w:eastAsia="en-US"/>
        </w:rPr>
        <w:t xml:space="preserve">] </w:t>
      </w:r>
      <w:r>
        <w:rPr>
          <w:lang w:eastAsia="en-US"/>
        </w:rPr>
        <w:t xml:space="preserve">A. Abusleme, et al., </w:t>
      </w:r>
      <w:r>
        <w:rPr>
          <w:i/>
          <w:iCs/>
          <w:lang w:eastAsia="en-US"/>
        </w:rPr>
        <w:t>Detector Technologies for CLIC</w:t>
      </w:r>
      <w:r>
        <w:rPr>
          <w:lang w:eastAsia="en-US"/>
        </w:rPr>
        <w:t xml:space="preserve">, CERN Yellow Report CERN-2019-001, </w:t>
      </w:r>
      <w:hyperlink r:id="rId18">
        <w:r>
          <w:rPr>
            <w:rStyle w:val="InternetLink"/>
            <w:lang w:eastAsia="en-US"/>
          </w:rPr>
          <w:t>http://arxiv.org/abs/arXiv:1905.02520</w:t>
        </w:r>
      </w:hyperlink>
      <w:r>
        <w:rPr>
          <w:lang w:eastAsia="en-US"/>
        </w:rPr>
        <w:t xml:space="preserve"> </w:t>
      </w:r>
    </w:p>
    <w:p>
      <w:pPr>
        <w:pStyle w:val="Normal"/>
        <w:rPr/>
      </w:pPr>
      <w:r>
        <w:rPr>
          <w:lang w:eastAsia="en-US"/>
        </w:rPr>
        <w:t>[</w:t>
      </w:r>
      <w:r>
        <w:rPr>
          <w:lang w:eastAsia="en-US"/>
        </w:rPr>
        <w:t>3</w:t>
      </w:r>
      <w:r>
        <w:rPr>
          <w:lang w:eastAsia="en-US"/>
        </w:rPr>
        <w:t xml:space="preserve">] </w:t>
      </w:r>
      <w:r>
        <w:rPr>
          <w:lang w:eastAsia="en-US"/>
        </w:rPr>
        <w:t xml:space="preserve">M. Idzik, et al., </w:t>
      </w:r>
      <w:r>
        <w:rPr>
          <w:i/>
          <w:iCs/>
          <w:lang w:eastAsia="en-US"/>
        </w:rPr>
        <w:t>FLAME – readout ASIC for luminosity calorimeter at future linear collider</w:t>
      </w:r>
      <w:r>
        <w:rPr>
          <w:lang w:eastAsia="en-US"/>
        </w:rPr>
        <w:t xml:space="preserve">, Topical Workshop on Electronics dor Particle Physics, TWEPP 2018, 17-21 September 2018, KU Leuven, Antwerpen, Belgium,  </w:t>
      </w:r>
      <w:hyperlink r:id="rId19">
        <w:r>
          <w:rPr>
            <w:rStyle w:val="InternetLink"/>
            <w:lang w:eastAsia="en-US"/>
          </w:rPr>
          <w:t>https://indico.cern.ch/event/697988/contributions/3055910/attachments/1718342/2772974/idzik_TWEPP2018_FLAME.pdf</w:t>
        </w:r>
      </w:hyperlink>
      <w:r>
        <w:rPr>
          <w:lang w:eastAsia="en-US"/>
        </w:rPr>
        <w:t xml:space="preserve"> </w:t>
      </w:r>
    </w:p>
    <w:p>
      <w:pPr>
        <w:pStyle w:val="Normal"/>
        <w:rPr/>
      </w:pPr>
      <w:r>
        <w:rPr>
          <w:lang w:eastAsia="en-US"/>
        </w:rPr>
        <w:t>[</w:t>
      </w:r>
      <w:r>
        <w:rPr>
          <w:lang w:eastAsia="en-US"/>
        </w:rPr>
        <w:t>4</w:t>
      </w:r>
      <w:r>
        <w:rPr>
          <w:lang w:eastAsia="en-US"/>
        </w:rPr>
        <w:t xml:space="preserve">] </w:t>
      </w:r>
      <w:r>
        <w:rPr>
          <w:lang w:eastAsia="en-US"/>
        </w:rPr>
        <w:t xml:space="preserve">J. Moron, et al., </w:t>
      </w:r>
      <w:r>
        <w:rPr>
          <w:i/>
          <w:iCs/>
          <w:lang w:eastAsia="en-US"/>
        </w:rPr>
        <w:t>Development of ultra-low power, rad-hard SAR ADCs in 130 nm CMOS technologies</w:t>
      </w:r>
      <w:r>
        <w:rPr>
          <w:lang w:eastAsia="en-US"/>
        </w:rPr>
        <w:t xml:space="preserve">, Topical Workshop on Electronics dor Particle Physics, TWEPP 2018, 17-21 September 2018, KU Leuven, Antwerpen, Belgium,  </w:t>
      </w:r>
      <w:hyperlink r:id="rId20">
        <w:r>
          <w:rPr>
            <w:rStyle w:val="InternetLink"/>
            <w:lang w:eastAsia="en-US"/>
          </w:rPr>
          <w:t>https://indico.cern.ch/event/697988/contributions/3055906/attachments/1718216/2772757/moron_Twepp_ADC_2018_09.pdf</w:t>
        </w:r>
      </w:hyperlink>
      <w:r>
        <w:rPr>
          <w:lang w:eastAsia="en-US"/>
        </w:rPr>
        <w:t xml:space="preserve"> </w:t>
      </w:r>
    </w:p>
    <w:p>
      <w:pPr>
        <w:pStyle w:val="Normal"/>
        <w:rPr>
          <w:lang w:eastAsia="en-US"/>
        </w:rPr>
      </w:pPr>
      <w:r>
        <w:rPr>
          <w:lang w:eastAsia="en-US"/>
        </w:rPr>
        <w:t xml:space="preserve">[5] M. Idzik, </w:t>
      </w:r>
      <w:r>
        <w:rPr>
          <w:i/>
          <w:iCs/>
          <w:lang w:eastAsia="en-US"/>
        </w:rPr>
        <w:t>Design and test of ASICs and readout board prototype for the test infrastructure</w:t>
      </w:r>
      <w:r>
        <w:rPr>
          <w:lang w:eastAsia="en-US"/>
        </w:rPr>
        <w:t>,   AIDA-2020 Milestone Report AIDA-2020-MS57 (2017)</w:t>
      </w:r>
    </w:p>
    <w:p>
      <w:pPr>
        <w:pStyle w:val="Normal"/>
        <w:rPr>
          <w:lang w:eastAsia="en-US"/>
        </w:rPr>
      </w:pPr>
      <w:r>
        <w:rPr>
          <w:lang w:eastAsia="en-US"/>
        </w:rPr>
        <w:t xml:space="preserve">[6] M.J. French, et al., </w:t>
      </w:r>
      <w:r>
        <w:rPr>
          <w:i/>
          <w:iCs/>
          <w:lang w:eastAsia="en-US"/>
        </w:rPr>
        <w:t>Design and results from the APV25, a deep sub-micron CMOS front-end chip for the CMS tracker</w:t>
      </w:r>
      <w:r>
        <w:rPr>
          <w:lang w:eastAsia="en-US"/>
        </w:rPr>
        <w:t>, Nucl. Instr. Methods A 466, 359 (2001)</w:t>
      </w:r>
    </w:p>
    <w:p>
      <w:pPr>
        <w:pStyle w:val="Normal"/>
        <w:rPr>
          <w:lang w:eastAsia="en-US"/>
        </w:rPr>
      </w:pPr>
      <w:r>
        <w:rPr>
          <w:lang w:eastAsia="en-US"/>
        </w:rPr>
        <w:t xml:space="preserve">[7] </w:t>
      </w:r>
      <w:r>
        <w:rPr>
          <w:lang w:eastAsia="en-US"/>
        </w:rPr>
        <w:t xml:space="preserve">H. Abramowicz, et al., </w:t>
      </w:r>
      <w:r>
        <w:rPr>
          <w:i/>
          <w:iCs/>
          <w:lang w:eastAsia="en-US"/>
        </w:rPr>
        <w:t>Performance and Molière radius measurements using a compact prototype of LumiCal in an electron test beam</w:t>
      </w:r>
      <w:r>
        <w:rPr>
          <w:lang w:eastAsia="en-US"/>
        </w:rPr>
        <w:t>, The European Physical Journal C 79 (2019) 579</w:t>
      </w:r>
    </w:p>
    <w:p>
      <w:pPr>
        <w:pStyle w:val="Normal"/>
        <w:rPr>
          <w:lang w:eastAsia="en-US"/>
        </w:rPr>
      </w:pPr>
      <w:r>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r>
        <w:br w:type="page"/>
      </w:r>
    </w:p>
    <w:p>
      <w:pPr>
        <w:pStyle w:val="Heading1"/>
        <w:numPr>
          <w:ilvl w:val="0"/>
          <w:numId w:val="0"/>
        </w:numPr>
        <w:rPr>
          <w:lang w:eastAsia="en-US"/>
        </w:rPr>
      </w:pPr>
      <w:bookmarkStart w:id="39" w:name="_Toc285912680"/>
      <w:bookmarkEnd w:id="39"/>
      <w:r>
        <w:rPr>
          <w:lang w:eastAsia="en-US"/>
        </w:rPr>
        <w:t>Annex: Glossary</w:t>
      </w:r>
    </w:p>
    <w:p>
      <w:pPr>
        <w:pStyle w:val="Normal"/>
        <w:rPr>
          <w:lang w:eastAsia="en-US"/>
        </w:rPr>
      </w:pPr>
      <w:r>
        <w:rPr>
          <w:lang w:eastAsia="en-US"/>
        </w:rPr>
      </w:r>
    </w:p>
    <w:tbl>
      <w:tblPr>
        <w:tblW w:w="5000" w:type="pct"/>
        <w:jc w:val="lef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3" w:type="dxa"/>
          <w:bottom w:w="0" w:type="dxa"/>
          <w:right w:w="108" w:type="dxa"/>
        </w:tblCellMar>
        <w:tblLook w:val="01e0" w:noVBand="0" w:noHBand="0" w:lastColumn="1" w:firstColumn="1" w:lastRow="1" w:firstRow="1"/>
      </w:tblPr>
      <w:tblGrid>
        <w:gridCol w:w="2373"/>
        <w:gridCol w:w="7264"/>
      </w:tblGrid>
      <w:tr>
        <w:trPr/>
        <w:tc>
          <w:tcPr>
            <w:tcW w:w="23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CoverTitle"/>
              <w:spacing w:before="120" w:after="120"/>
              <w:jc w:val="left"/>
              <w:rPr>
                <w:lang w:eastAsia="en-US"/>
              </w:rPr>
            </w:pPr>
            <w:r>
              <w:rPr>
                <w:lang w:eastAsia="en-US"/>
              </w:rPr>
              <w:t>Acronym</w:t>
            </w:r>
          </w:p>
        </w:tc>
        <w:tc>
          <w:tcPr>
            <w:tcW w:w="72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CoverTitle"/>
              <w:spacing w:before="120" w:after="120"/>
              <w:jc w:val="left"/>
              <w:rPr>
                <w:lang w:eastAsia="en-US"/>
              </w:rPr>
            </w:pPr>
            <w:r>
              <w:rPr>
                <w:lang w:eastAsia="en-US"/>
              </w:rPr>
              <w:t>Definition</w:t>
            </w:r>
          </w:p>
        </w:tc>
      </w:tr>
      <w:tr>
        <w:trPr>
          <w:trHeight w:val="285" w:hRule="atLeast"/>
        </w:trPr>
        <w:tc>
          <w:tcPr>
            <w:tcW w:w="23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widowControl/>
              <w:suppressAutoHyphens w:val="true"/>
              <w:bidi w:val="0"/>
              <w:spacing w:before="40" w:after="40"/>
              <w:jc w:val="both"/>
              <w:rPr/>
            </w:pPr>
            <w:r>
              <w:rPr>
                <w:lang w:eastAsia="en-US"/>
              </w:rPr>
              <w:t>ASIC</w:t>
            </w:r>
          </w:p>
        </w:tc>
        <w:tc>
          <w:tcPr>
            <w:tcW w:w="72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widowControl/>
              <w:suppressAutoHyphens w:val="true"/>
              <w:bidi w:val="0"/>
              <w:spacing w:before="40" w:after="40"/>
              <w:jc w:val="both"/>
              <w:rPr/>
            </w:pPr>
            <w:r>
              <w:rPr>
                <w:lang w:eastAsia="en-US"/>
              </w:rPr>
              <w:t>Application Specific Integrated Circuit</w:t>
            </w:r>
          </w:p>
        </w:tc>
      </w:tr>
      <w:tr>
        <w:trPr/>
        <w:tc>
          <w:tcPr>
            <w:tcW w:w="23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LumiCal</w:t>
            </w:r>
          </w:p>
        </w:tc>
        <w:tc>
          <w:tcPr>
            <w:tcW w:w="72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Luminosity Calorimeter</w:t>
            </w:r>
          </w:p>
        </w:tc>
      </w:tr>
      <w:tr>
        <w:trPr/>
        <w:tc>
          <w:tcPr>
            <w:tcW w:w="23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BeamCal</w:t>
            </w:r>
          </w:p>
        </w:tc>
        <w:tc>
          <w:tcPr>
            <w:tcW w:w="72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Beam Monitor Caloruimeter</w:t>
            </w:r>
          </w:p>
        </w:tc>
      </w:tr>
      <w:tr>
        <w:trPr/>
        <w:tc>
          <w:tcPr>
            <w:tcW w:w="23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PCB</w:t>
            </w:r>
          </w:p>
        </w:tc>
        <w:tc>
          <w:tcPr>
            <w:tcW w:w="72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tcPr>
          <w:p>
            <w:pPr>
              <w:pStyle w:val="Normal"/>
              <w:spacing w:before="40" w:after="40"/>
              <w:rPr>
                <w:lang w:eastAsia="en-US"/>
              </w:rPr>
            </w:pPr>
            <w:r>
              <w:rPr>
                <w:lang w:eastAsia="en-US"/>
              </w:rPr>
              <w:t>Printed Circuit Board</w:t>
            </w:r>
          </w:p>
        </w:tc>
      </w:tr>
    </w:tbl>
    <w:p>
      <w:pPr>
        <w:pStyle w:val="Normal"/>
        <w:spacing w:before="40" w:after="40"/>
        <w:rPr/>
      </w:pPr>
      <w:r>
        <w:rPr/>
      </w:r>
    </w:p>
    <w:sectPr>
      <w:headerReference w:type="default" r:id="rId21"/>
      <w:footerReference w:type="default" r:id="rId22"/>
      <w:type w:val="nextPage"/>
      <w:pgSz w:w="11906" w:h="16838"/>
      <w:pgMar w:left="1134" w:right="1134" w:header="720" w:top="1134" w:footer="720" w:bottom="1134" w:gutter="0"/>
      <w:pgNumType w:fmt="decimal"/>
      <w:formProt w:val="false"/>
      <w:textDirection w:val="lrTb"/>
      <w:docGrid w:type="default" w:linePitch="326"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Liberation Sans">
    <w:altName w:val="Arial"/>
    <w:charset w:val="01"/>
    <w:family w:val="roman"/>
    <w:pitch w:val="variable"/>
  </w:font>
  <w:font w:name="Tahoma">
    <w:charset w:val="01"/>
    <w:family w:val="roman"/>
    <w:pitch w:val="variable"/>
  </w:font>
  <w:font w:name="Times New Roman">
    <w:charset w:val="01"/>
    <w:family w:val="roman"/>
    <w:pitch w:val="default"/>
  </w:font>
  <w:font w:name="Times-Roman">
    <w:altName w:val="Times New Roman"/>
    <w:charset w:val="01"/>
    <w:family w:val="roman"/>
    <w:pitch w:val="variable"/>
  </w:font>
  <w:font w:name="Times new Roman">
    <w:charset w:val="01"/>
    <w:family w:val="roman"/>
    <w:pitch w:val="default"/>
  </w:font>
  <w:font w:name="Times New Roman Bold">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fill="auto" w:val="clear"/>
        </w:tcPr>
        <w:p>
          <w:pPr>
            <w:pStyle w:val="Footer"/>
            <w:spacing w:before="40" w:after="40"/>
            <w:jc w:val="right"/>
            <w:rPr/>
          </w:pPr>
          <w:r>
            <w:rPr/>
            <w:fldChar w:fldCharType="begin"/>
          </w:r>
          <w:r>
            <w:instrText> PAGE </w:instrText>
          </w:r>
          <w:r>
            <w:fldChar w:fldCharType="separate"/>
          </w:r>
          <w:r>
            <w:t>8</w:t>
          </w:r>
          <w:r>
            <w:fldChar w:fldCharType="end"/>
          </w:r>
          <w:r>
            <w:rPr>
              <w:sz w:val="20"/>
            </w:rPr>
            <w:t xml:space="preserve"> </w:t>
          </w:r>
          <w:r>
            <w:rPr>
              <w:sz w:val="20"/>
            </w:rPr>
            <w:t xml:space="preserve">/ </w:t>
          </w:r>
          <w:r>
            <w:rPr>
              <w:sz w:val="20"/>
            </w:rPr>
            <w:fldChar w:fldCharType="begin"/>
          </w:r>
          <w:r>
            <w:instrText> NUMPAGES </w:instrText>
          </w:r>
          <w:r>
            <w:fldChar w:fldCharType="separate"/>
          </w:r>
          <w:r>
            <w:t>14</w:t>
          </w:r>
          <w:r>
            <w:fldChar w:fldCharType="end"/>
          </w:r>
        </w:p>
      </w:tc>
    </w:tr>
  </w:tbl>
  <w:p>
    <w:pPr>
      <w:pStyle w:val="Footer"/>
      <w:tabs>
        <w:tab w:val="center" w:pos="4536" w:leader="none"/>
        <w:tab w:val="right" w:pos="9072" w:leader="none"/>
      </w:tabs>
      <w:spacing w:before="40" w:after="4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pacing w:before="40" w:after="40"/>
      <w:jc w:val="center"/>
      <w:rPr/>
    </w:pPr>
    <w:r>
      <w:rPr>
        <w:sz w:val="20"/>
      </w:rPr>
      <w:t xml:space="preserve">AIDA-2020 Consortium, </w:t>
    </w:r>
    <w:r>
      <w:rPr>
        <w:sz w:val="20"/>
      </w:rPr>
      <w:t>2020</w:t>
    </w:r>
  </w:p>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fill="auto" w:val="clear"/>
        </w:tcPr>
        <w:p>
          <w:pPr>
            <w:pStyle w:val="Footer"/>
            <w:spacing w:before="40" w:after="40"/>
            <w:jc w:val="right"/>
            <w:rPr/>
          </w:pPr>
          <w:r>
            <w:rPr/>
            <w:fldChar w:fldCharType="begin"/>
          </w:r>
          <w:r>
            <w:instrText> PAGE </w:instrText>
          </w:r>
          <w:r>
            <w:fldChar w:fldCharType="separate"/>
          </w:r>
          <w:r>
            <w:t>1</w:t>
          </w:r>
          <w:r>
            <w:fldChar w:fldCharType="end"/>
          </w:r>
          <w:r>
            <w:rPr>
              <w:sz w:val="20"/>
            </w:rPr>
            <w:t xml:space="preserve"> </w:t>
          </w:r>
          <w:r>
            <w:rPr>
              <w:sz w:val="20"/>
            </w:rPr>
            <w:t xml:space="preserve">/ </w:t>
          </w:r>
          <w:r>
            <w:rPr>
              <w:sz w:val="20"/>
            </w:rPr>
            <w:fldChar w:fldCharType="begin"/>
          </w:r>
          <w:r>
            <w:instrText> NUMPAGES </w:instrText>
          </w:r>
          <w:r>
            <w:fldChar w:fldCharType="separate"/>
          </w:r>
          <w:r>
            <w:t>14</w:t>
          </w:r>
          <w:r>
            <w:fldChar w:fldCharType="end"/>
          </w:r>
        </w:p>
      </w:tc>
    </w:tr>
  </w:tbl>
  <w:p>
    <w:pPr>
      <w:pStyle w:val="Footer"/>
      <w:tabs>
        <w:tab w:val="center" w:pos="4536" w:leader="none"/>
        <w:tab w:val="right" w:pos="9072" w:leader="none"/>
      </w:tabs>
      <w:spacing w:before="40" w:after="4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fill="auto" w:val="clear"/>
        </w:tcPr>
        <w:p>
          <w:pPr>
            <w:pStyle w:val="Footer"/>
            <w:spacing w:before="40" w:after="40"/>
            <w:jc w:val="right"/>
            <w:rPr/>
          </w:pPr>
          <w:r>
            <w:rPr/>
            <w:fldChar w:fldCharType="begin"/>
          </w:r>
          <w:r>
            <w:instrText> PAGE </w:instrText>
          </w:r>
          <w:r>
            <w:fldChar w:fldCharType="separate"/>
          </w:r>
          <w:r>
            <w:t>14</w:t>
          </w:r>
          <w:r>
            <w:fldChar w:fldCharType="end"/>
          </w:r>
          <w:r>
            <w:rPr>
              <w:sz w:val="20"/>
            </w:rPr>
            <w:t xml:space="preserve"> </w:t>
          </w:r>
          <w:r>
            <w:rPr>
              <w:sz w:val="20"/>
            </w:rPr>
            <w:t xml:space="preserve">/ </w:t>
          </w:r>
          <w:r>
            <w:rPr>
              <w:sz w:val="20"/>
            </w:rPr>
            <w:fldChar w:fldCharType="begin"/>
          </w:r>
          <w:r>
            <w:instrText> NUMPAGES </w:instrText>
          </w:r>
          <w:r>
            <w:fldChar w:fldCharType="separate"/>
          </w:r>
          <w:r>
            <w:t>14</w:t>
          </w:r>
          <w:r>
            <w:fldChar w:fldCharType="end"/>
          </w:r>
        </w:p>
      </w:tc>
    </w:tr>
  </w:tbl>
  <w:p>
    <w:pPr>
      <w:pStyle w:val="Footer"/>
      <w:tabs>
        <w:tab w:val="center" w:pos="4536" w:leader="none"/>
        <w:tab w:val="right" w:pos="9072" w:leader="none"/>
      </w:tabs>
      <w:spacing w:before="40" w:after="40"/>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224"/>
      <w:gridCol w:w="5485"/>
      <w:gridCol w:w="1929"/>
    </w:tblGrid>
    <w:tr>
      <w:trPr>
        <w:cantSplit w:val="true"/>
      </w:trPr>
      <w:tc>
        <w:tcPr>
          <w:tcW w:w="2224" w:type="dxa"/>
          <w:vMerge w:val="restart"/>
          <w:tcBorders>
            <w:bottom w:val="single" w:sz="8" w:space="0" w:color="000080"/>
            <w:insideH w:val="single" w:sz="8" w:space="0" w:color="000080"/>
          </w:tcBorders>
          <w:shd w:fill="auto" w:val="clear"/>
        </w:tcPr>
        <w:p>
          <w:pPr>
            <w:pStyle w:val="Header"/>
            <w:spacing w:before="40" w:after="40"/>
            <w:jc w:val="center"/>
            <w:rPr/>
          </w:pPr>
          <w:r>
            <w:rPr/>
            <w:drawing>
              <wp:inline distT="0" distB="0" distL="0" distR="0">
                <wp:extent cx="1190625" cy="314325"/>
                <wp:effectExtent l="0" t="0" r="0" b="0"/>
                <wp:docPr id="12" name="Picture 11"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5485" w:type="dxa"/>
          <w:vMerge w:val="restart"/>
          <w:tcBorders>
            <w:bottom w:val="single" w:sz="4" w:space="0" w:color="00000A"/>
            <w:insideH w:val="single" w:sz="4" w:space="0" w:color="00000A"/>
          </w:tcBorders>
          <w:shd w:fill="auto" w:val="clear"/>
          <w:vAlign w:val="center"/>
        </w:tcPr>
        <w:p>
          <w:pPr>
            <w:pStyle w:val="Header"/>
            <w:spacing w:before="0" w:after="0"/>
            <w:jc w:val="center"/>
            <w:rPr/>
          </w:pPr>
          <w:r>
            <w:fldChar w:fldCharType="begin"/>
          </w:r>
          <w:r>
            <w:instrText>STYLEREF DocTitle \* MERGEFORMAT</w:instrText>
          </w:r>
          <w:r>
            <w:fldChar w:fldCharType="separate"/>
          </w:r>
          <w:bookmarkStart w:id="27" w:name="__Fieldmark__3258_1345168093"/>
          <w:r>
            <w:rPr/>
          </w:r>
          <w:r>
            <w:rPr/>
          </w:r>
          <w:r>
            <w:fldChar w:fldCharType="end"/>
          </w:r>
          <w:bookmarkStart w:id="28" w:name="__DdeLink__5070_1345168093"/>
          <w:bookmarkEnd w:id="27"/>
          <w:bookmarkEnd w:id="28"/>
          <w:r>
            <w:rPr>
              <w:rFonts w:ascii="Times New Roman Bold" w:hAnsi="Times New Roman Bold"/>
              <w:b/>
              <w:caps/>
              <w:color w:val="000099"/>
              <w:lang w:val="fr-FR"/>
            </w:rPr>
            <w:t>Very compact calorimeters</w:t>
          </w:r>
        </w:p>
      </w:tc>
      <w:tc>
        <w:tcPr>
          <w:tcW w:w="1929" w:type="dxa"/>
          <w:tcBorders>
            <w:bottom w:val="single" w:sz="8" w:space="0" w:color="000080"/>
            <w:insideH w:val="single" w:sz="8" w:space="0" w:color="000080"/>
          </w:tcBorders>
          <w:shd w:fill="auto" w:val="clear"/>
        </w:tcPr>
        <w:p>
          <w:pPr>
            <w:pStyle w:val="DocDate"/>
            <w:spacing w:before="120" w:after="120"/>
            <w:jc w:val="right"/>
            <w:rPr/>
          </w:pPr>
          <w:r>
            <w:fldChar w:fldCharType="begin"/>
          </w:r>
          <w:r>
            <w:instrText>STYLEREF  Deliverable  \* MERGEFORMAT</w:instrText>
          </w:r>
          <w:r>
            <w:fldChar w:fldCharType="separate"/>
          </w:r>
          <w:bookmarkStart w:id="29" w:name="__Fieldmark__3267_1345168093"/>
          <w:r>
            <w:rPr/>
          </w:r>
          <w:r>
            <w:rPr/>
          </w:r>
          <w:r>
            <w:fldChar w:fldCharType="end"/>
          </w:r>
          <w:bookmarkStart w:id="30" w:name="__Fieldmark__2242_1345168093"/>
          <w:bookmarkEnd w:id="29"/>
          <w:bookmarkEnd w:id="30"/>
          <w:r>
            <w:rPr>
              <w:bCs/>
              <w:sz w:val="16"/>
              <w:lang w:val="en-US"/>
            </w:rPr>
            <w:t>Deliverable: D</w:t>
          </w:r>
          <w:r>
            <w:rPr>
              <w:bCs/>
              <w:sz w:val="16"/>
              <w:lang w:val="en-US"/>
            </w:rPr>
            <w:t>14</w:t>
          </w:r>
          <w:r>
            <w:rPr>
              <w:bCs/>
              <w:sz w:val="16"/>
              <w:lang w:val="en-US"/>
            </w:rPr>
            <w:t>.</w:t>
          </w:r>
          <w:r>
            <w:rPr>
              <w:bCs/>
              <w:sz w:val="16"/>
              <w:lang w:val="en-US"/>
            </w:rPr>
            <w:t>4</w:t>
          </w:r>
        </w:p>
      </w:tc>
    </w:tr>
    <w:tr>
      <w:trPr>
        <w:cantSplit w:val="true"/>
      </w:trPr>
      <w:tc>
        <w:tcPr>
          <w:tcW w:w="2224" w:type="dxa"/>
          <w:vMerge w:val="continue"/>
          <w:tcBorders>
            <w:top w:val="single" w:sz="4" w:space="0" w:color="00000A"/>
            <w:bottom w:val="single" w:sz="8" w:space="0" w:color="000099"/>
            <w:insideH w:val="single" w:sz="8" w:space="0" w:color="000099"/>
          </w:tcBorders>
          <w:shd w:fill="auto" w:val="clear"/>
        </w:tcPr>
        <w:p>
          <w:pPr>
            <w:pStyle w:val="Header"/>
            <w:spacing w:before="40" w:after="40"/>
            <w:jc w:val="center"/>
            <w:rPr/>
          </w:pPr>
          <w:r>
            <w:rPr/>
          </w:r>
        </w:p>
      </w:tc>
      <w:tc>
        <w:tcPr>
          <w:tcW w:w="5485" w:type="dxa"/>
          <w:vMerge w:val="continue"/>
          <w:tcBorders>
            <w:top w:val="single" w:sz="8" w:space="0" w:color="000099"/>
            <w:bottom w:val="single" w:sz="8" w:space="0" w:color="000099"/>
            <w:insideH w:val="single" w:sz="8" w:space="0" w:color="000099"/>
          </w:tcBorders>
          <w:shd w:fill="auto" w:val="clear"/>
          <w:vAlign w:val="center"/>
        </w:tcPr>
        <w:p>
          <w:pPr>
            <w:pStyle w:val="Header"/>
            <w:spacing w:before="20" w:after="20"/>
            <w:jc w:val="center"/>
            <w:rPr>
              <w:sz w:val="16"/>
            </w:rPr>
          </w:pPr>
          <w:r>
            <w:rPr>
              <w:sz w:val="16"/>
            </w:rPr>
          </w:r>
        </w:p>
      </w:tc>
      <w:tc>
        <w:tcPr>
          <w:tcW w:w="1929" w:type="dxa"/>
          <w:tcBorders>
            <w:top w:val="single" w:sz="8" w:space="0" w:color="000099"/>
            <w:bottom w:val="single" w:sz="8" w:space="0" w:color="000099"/>
            <w:insideH w:val="single" w:sz="8" w:space="0" w:color="000099"/>
          </w:tcBorders>
          <w:shd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31" w:name="__Fieldmark__3275_1345168093"/>
          <w:r>
            <w:rPr>
              <w:i/>
              <w:sz w:val="16"/>
            </w:rPr>
          </w:r>
          <w:r>
            <w:rPr>
              <w:i/>
              <w:sz w:val="16"/>
            </w:rPr>
          </w:r>
          <w:r>
            <w:fldChar w:fldCharType="end"/>
          </w:r>
          <w:bookmarkStart w:id="32" w:name="__Fieldmark__2247_1345168093"/>
          <w:bookmarkEnd w:id="31"/>
          <w:bookmarkEnd w:id="32"/>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819" w:leader="none"/>
        <w:tab w:val="right" w:pos="9071" w:leader="none"/>
      </w:tabs>
      <w:spacing w:before="40" w:after="40"/>
      <w:rPr/>
    </w:pPr>
    <w:r>
      <w:rPr/>
      <w:drawing>
        <wp:inline distT="0" distB="0" distL="0" distR="0">
          <wp:extent cx="1733550" cy="457200"/>
          <wp:effectExtent l="0" t="0" r="0" b="0"/>
          <wp:docPr id="13" name="Picture 12"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Logo AIDA2020-petite definition"/>
                  <pic:cNvPicPr>
                    <a:picLocks noChangeAspect="1" noChangeArrowheads="1"/>
                  </pic:cNvPicPr>
                </pic:nvPicPr>
                <pic:blipFill>
                  <a:blip r:embed="rId1"/>
                  <a:stretch>
                    <a:fillRect/>
                  </a:stretch>
                </pic:blipFill>
                <pic:spPr bwMode="auto">
                  <a:xfrm>
                    <a:off x="0" y="0"/>
                    <a:ext cx="1733550" cy="457200"/>
                  </a:xfrm>
                  <a:prstGeom prst="rect">
                    <a:avLst/>
                  </a:prstGeom>
                </pic:spPr>
              </pic:pic>
            </a:graphicData>
          </a:graphic>
        </wp:inline>
      </w:drawing>
    </w:r>
    <w:r>
      <w:rPr/>
      <w:tab/>
      <w:tab/>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224"/>
      <w:gridCol w:w="5485"/>
      <w:gridCol w:w="1929"/>
    </w:tblGrid>
    <w:tr>
      <w:trPr>
        <w:cantSplit w:val="true"/>
      </w:trPr>
      <w:tc>
        <w:tcPr>
          <w:tcW w:w="2224" w:type="dxa"/>
          <w:vMerge w:val="restart"/>
          <w:tcBorders>
            <w:bottom w:val="single" w:sz="8" w:space="0" w:color="000080"/>
            <w:insideH w:val="single" w:sz="8" w:space="0" w:color="000080"/>
          </w:tcBorders>
          <w:shd w:fill="auto" w:val="clear"/>
        </w:tcPr>
        <w:p>
          <w:pPr>
            <w:pStyle w:val="Header"/>
            <w:spacing w:before="40" w:after="40"/>
            <w:jc w:val="center"/>
            <w:rPr/>
          </w:pPr>
          <w:r>
            <w:rPr/>
            <w:drawing>
              <wp:inline distT="0" distB="0" distL="0" distR="0">
                <wp:extent cx="1190625" cy="314325"/>
                <wp:effectExtent l="0" t="0" r="0" b="0"/>
                <wp:docPr id="14" name="Picture 4"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5485" w:type="dxa"/>
          <w:vMerge w:val="restart"/>
          <w:tcBorders>
            <w:bottom w:val="single" w:sz="4" w:space="0" w:color="00000A"/>
            <w:insideH w:val="single" w:sz="4" w:space="0" w:color="00000A"/>
          </w:tcBorders>
          <w:shd w:fill="auto" w:val="clear"/>
          <w:vAlign w:val="center"/>
        </w:tcPr>
        <w:p>
          <w:pPr>
            <w:pStyle w:val="Header"/>
            <w:spacing w:before="0" w:after="0"/>
            <w:ind w:right="-70" w:hanging="0"/>
            <w:jc w:val="center"/>
            <w:rPr/>
          </w:pPr>
          <w:r>
            <w:fldChar w:fldCharType="begin"/>
          </w:r>
          <w:r>
            <w:instrText>STYLEREF DocTitle \* MERGEFORMAT</w:instrText>
          </w:r>
          <w:r>
            <w:fldChar w:fldCharType="separate"/>
          </w:r>
          <w:bookmarkStart w:id="40" w:name="__Fieldmark__3529_1345168093"/>
          <w:r>
            <w:rPr/>
          </w:r>
          <w:r>
            <w:rPr/>
          </w:r>
          <w:r>
            <w:fldChar w:fldCharType="end"/>
          </w:r>
          <w:bookmarkStart w:id="41" w:name="__Fieldmark__2574_1345168093"/>
          <w:bookmarkEnd w:id="40"/>
          <w:bookmarkEnd w:id="41"/>
          <w:r>
            <w:rPr>
              <w:rFonts w:ascii="Times New Roman Bold" w:hAnsi="Times New Roman Bold"/>
              <w:b/>
              <w:caps/>
              <w:color w:val="000099"/>
            </w:rPr>
            <w:t>[</w:t>
          </w:r>
          <w:r>
            <w:rPr>
              <w:rFonts w:ascii="Times New Roman Bold" w:hAnsi="Times New Roman Bold"/>
              <w:b/>
              <w:caps/>
              <w:color w:val="000099"/>
            </w:rPr>
            <w:t>V</w:t>
          </w:r>
          <w:r>
            <w:rPr>
              <w:rFonts w:ascii="Times New Roman Bold" w:hAnsi="Times New Roman Bold"/>
              <w:b/>
              <w:caps/>
              <w:color w:val="000099"/>
              <w:lang w:val="fr-FR"/>
            </w:rPr>
            <w:t>ery compact calorimeters]</w:t>
          </w:r>
        </w:p>
      </w:tc>
      <w:tc>
        <w:tcPr>
          <w:tcW w:w="1929" w:type="dxa"/>
          <w:tcBorders>
            <w:bottom w:val="single" w:sz="8" w:space="0" w:color="000080"/>
            <w:insideH w:val="single" w:sz="8" w:space="0" w:color="000080"/>
          </w:tcBorders>
          <w:shd w:fill="auto" w:val="clear"/>
        </w:tcPr>
        <w:p>
          <w:pPr>
            <w:pStyle w:val="DocDate"/>
            <w:spacing w:before="120" w:after="120"/>
            <w:jc w:val="right"/>
            <w:rPr/>
          </w:pPr>
          <w:r>
            <w:fldChar w:fldCharType="begin"/>
          </w:r>
          <w:r>
            <w:instrText>STYLEREF  Deliverable  \* MERGEFORMAT</w:instrText>
          </w:r>
          <w:r>
            <w:fldChar w:fldCharType="separate"/>
          </w:r>
          <w:bookmarkStart w:id="42" w:name="__Fieldmark__3538_1345168093"/>
          <w:r>
            <w:rPr/>
          </w:r>
          <w:r>
            <w:rPr/>
          </w:r>
          <w:r>
            <w:fldChar w:fldCharType="end"/>
          </w:r>
          <w:bookmarkStart w:id="43" w:name="__Fieldmark__2580_1345168093"/>
          <w:bookmarkEnd w:id="42"/>
          <w:bookmarkEnd w:id="43"/>
          <w:r>
            <w:rPr>
              <w:bCs/>
              <w:sz w:val="16"/>
              <w:lang w:val="en-US"/>
            </w:rPr>
            <w:t>Deliverable: D</w:t>
          </w:r>
          <w:r>
            <w:rPr>
              <w:bCs/>
              <w:sz w:val="16"/>
              <w:lang w:val="en-US"/>
            </w:rPr>
            <w:t>14</w:t>
          </w:r>
          <w:r>
            <w:rPr>
              <w:bCs/>
              <w:sz w:val="16"/>
              <w:lang w:val="en-US"/>
            </w:rPr>
            <w:t>.</w:t>
          </w:r>
          <w:r>
            <w:rPr>
              <w:bCs/>
              <w:sz w:val="16"/>
              <w:lang w:val="en-US"/>
            </w:rPr>
            <w:t>4</w:t>
          </w:r>
        </w:p>
      </w:tc>
    </w:tr>
    <w:tr>
      <w:trPr>
        <w:cantSplit w:val="true"/>
      </w:trPr>
      <w:tc>
        <w:tcPr>
          <w:tcW w:w="2224" w:type="dxa"/>
          <w:vMerge w:val="continue"/>
          <w:tcBorders>
            <w:top w:val="single" w:sz="4" w:space="0" w:color="00000A"/>
            <w:bottom w:val="single" w:sz="8" w:space="0" w:color="000099"/>
            <w:insideH w:val="single" w:sz="8" w:space="0" w:color="000099"/>
          </w:tcBorders>
          <w:shd w:fill="auto" w:val="clear"/>
        </w:tcPr>
        <w:p>
          <w:pPr>
            <w:pStyle w:val="Header"/>
            <w:spacing w:before="40" w:after="40"/>
            <w:jc w:val="center"/>
            <w:rPr/>
          </w:pPr>
          <w:r>
            <w:rPr/>
          </w:r>
        </w:p>
      </w:tc>
      <w:tc>
        <w:tcPr>
          <w:tcW w:w="5485" w:type="dxa"/>
          <w:vMerge w:val="continue"/>
          <w:tcBorders>
            <w:top w:val="single" w:sz="8" w:space="0" w:color="000099"/>
            <w:bottom w:val="single" w:sz="8" w:space="0" w:color="000099"/>
            <w:insideH w:val="single" w:sz="8" w:space="0" w:color="000099"/>
          </w:tcBorders>
          <w:shd w:fill="auto" w:val="clear"/>
          <w:vAlign w:val="center"/>
        </w:tcPr>
        <w:p>
          <w:pPr>
            <w:pStyle w:val="Header"/>
            <w:spacing w:before="20" w:after="20"/>
            <w:jc w:val="center"/>
            <w:rPr>
              <w:sz w:val="16"/>
            </w:rPr>
          </w:pPr>
          <w:r>
            <w:rPr>
              <w:sz w:val="16"/>
            </w:rPr>
          </w:r>
        </w:p>
      </w:tc>
      <w:tc>
        <w:tcPr>
          <w:tcW w:w="1929" w:type="dxa"/>
          <w:tcBorders>
            <w:top w:val="single" w:sz="8" w:space="0" w:color="000099"/>
            <w:bottom w:val="single" w:sz="8" w:space="0" w:color="000099"/>
            <w:insideH w:val="single" w:sz="8" w:space="0" w:color="000099"/>
          </w:tcBorders>
          <w:shd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44" w:name="__Fieldmark__3546_1345168093"/>
          <w:r>
            <w:rPr>
              <w:i/>
              <w:sz w:val="16"/>
            </w:rPr>
          </w:r>
          <w:r>
            <w:rPr>
              <w:i/>
              <w:sz w:val="16"/>
            </w:rPr>
          </w:r>
          <w:r>
            <w:fldChar w:fldCharType="end"/>
          </w:r>
          <w:bookmarkStart w:id="45" w:name="__Fieldmark__2585_1345168093"/>
          <w:bookmarkEnd w:id="44"/>
          <w:bookmarkEnd w:id="45"/>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decimal"/>
      <w:lvlText w:val="%1."/>
      <w:lvlJc w:val="left"/>
      <w:pPr>
        <w:ind w:left="0" w:hanging="0"/>
      </w:pPr>
    </w:lvl>
    <w:lvl w:ilvl="1">
      <w:start w:val="1"/>
      <w:pStyle w:val="Heading2"/>
      <w:numFmt w:val="decimal"/>
      <w:lvlText w:val="%1.%2."/>
      <w:lvlJc w:val="left"/>
      <w:pPr>
        <w:ind w:left="0" w:hanging="0"/>
      </w:pPr>
    </w:lvl>
    <w:lvl w:ilvl="2">
      <w:start w:val="1"/>
      <w:pStyle w:val="Heading3"/>
      <w:numFmt w:val="decimal"/>
      <w:lvlText w:val="%1.%2.%3."/>
      <w:lvlJc w:val="left"/>
      <w:pPr>
        <w:ind w:left="0" w:hanging="0"/>
      </w:pPr>
    </w:lvl>
    <w:lvl w:ilvl="3">
      <w:start w:val="1"/>
      <w:pStyle w:val="Heading4"/>
      <w:numFmt w:val="decimal"/>
      <w:suff w:val="space"/>
      <w:lvlText w:val="%1.%2.%3.%4."/>
      <w:lvlJc w:val="left"/>
      <w:pPr>
        <w:ind w:left="0" w:hanging="0"/>
      </w:pPr>
    </w:lvl>
    <w:lvl w:ilvl="4">
      <w:start w:val="1"/>
      <w:pStyle w:val="Heading5"/>
      <w:numFmt w:val="none"/>
      <w:suff w:val="nothing"/>
      <w:lvlText w:val=""/>
      <w:lvlJc w:val="left"/>
      <w:pPr>
        <w:ind w:left="0" w:hanging="0"/>
      </w:pPr>
    </w:lvl>
    <w:lvl w:ilvl="5">
      <w:start w:val="1"/>
      <w:pStyle w:val="Heading6"/>
      <w:numFmt w:val="none"/>
      <w:suff w:val="nothing"/>
      <w:lvlText w:val=""/>
      <w:lvlJc w:val="left"/>
      <w:pPr>
        <w:ind w:left="0" w:hanging="0"/>
      </w:pPr>
    </w:lvl>
    <w:lvl w:ilvl="6">
      <w:start w:val="1"/>
      <w:pStyle w:val="Heading7"/>
      <w:numFmt w:val="none"/>
      <w:suff w:val="nothing"/>
      <w:lvlText w:val=""/>
      <w:lvlJc w:val="left"/>
      <w:pPr>
        <w:ind w:left="0" w:hanging="0"/>
      </w:pPr>
    </w:lvl>
    <w:lvl w:ilvl="7">
      <w:start w:val="1"/>
      <w:pStyle w:val="Heading8"/>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0" w:hanging="0"/>
      </w:pPr>
    </w:lvl>
    <w:lvl w:ilvl="1">
      <w:start w:val="1"/>
      <w:numFmt w:val="decimal"/>
      <w:lvlText w:val="%1.%2."/>
      <w:lvlJc w:val="left"/>
      <w:pPr>
        <w:ind w:left="0" w:hanging="0"/>
      </w:pPr>
    </w:lvl>
    <w:lvl w:ilvl="2">
      <w:start w:val="1"/>
      <w:numFmt w:val="decimal"/>
      <w:lvlText w:val="%1.%2.%3."/>
      <w:lvlJc w:val="left"/>
      <w:pPr>
        <w:ind w:left="0" w:hanging="0"/>
      </w:pPr>
    </w:lvl>
    <w:lvl w:ilvl="3">
      <w:start w:val="1"/>
      <w:numFmt w:val="decimal"/>
      <w:suff w:val="space"/>
      <w:lvlText w:val="%1.%2.%3.%4."/>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SystemFonts/>
  <w:defaultTabStop w:val="720"/>
  <w:autoHyphenation w:val="fals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GB" w:eastAsia="en-GB"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21e90"/>
    <w:pPr>
      <w:widowControl/>
      <w:suppressAutoHyphens w:val="true"/>
      <w:bidi w:val="0"/>
      <w:spacing w:before="40" w:after="40"/>
      <w:jc w:val="both"/>
    </w:pPr>
    <w:rPr>
      <w:rFonts w:ascii="Times New Roman" w:hAnsi="Times New Roman" w:eastAsia="Times New Roman" w:cs="Times New Roman"/>
      <w:color w:val="00000A"/>
      <w:sz w:val="24"/>
      <w:szCs w:val="20"/>
      <w:lang w:val="en-GB" w:eastAsia="fr-FR" w:bidi="ar-SA"/>
    </w:rPr>
  </w:style>
  <w:style w:type="paragraph" w:styleId="Heading1">
    <w:name w:val="Heading 1"/>
    <w:basedOn w:val="Normal"/>
    <w:next w:val="Normal"/>
    <w:autoRedefine/>
    <w:qFormat/>
    <w:rsid w:val="001d6611"/>
    <w:pPr>
      <w:numPr>
        <w:ilvl w:val="0"/>
        <w:numId w:val="1"/>
      </w:numPr>
      <w:spacing w:before="360" w:after="60"/>
      <w:outlineLvl w:val="0"/>
      <w:outlineLvl w:val="0"/>
    </w:pPr>
    <w:rPr>
      <w:rFonts w:ascii="Arial" w:hAnsi="Arial"/>
      <w:b/>
      <w:caps/>
      <w:color w:val="000099"/>
      <w:sz w:val="28"/>
    </w:rPr>
  </w:style>
  <w:style w:type="paragraph" w:styleId="Heading2">
    <w:name w:val="Heading 2"/>
    <w:basedOn w:val="Normal"/>
    <w:next w:val="Normal"/>
    <w:autoRedefine/>
    <w:qFormat/>
    <w:rsid w:val="001d6611"/>
    <w:pPr>
      <w:numPr>
        <w:ilvl w:val="1"/>
        <w:numId w:val="1"/>
      </w:numPr>
      <w:spacing w:before="240" w:after="60"/>
      <w:outlineLvl w:val="1"/>
      <w:outlineLvl w:val="1"/>
    </w:pPr>
    <w:rPr>
      <w:rFonts w:ascii="Arial" w:hAnsi="Arial"/>
      <w:b/>
      <w:caps/>
      <w:color w:val="000099"/>
      <w:sz w:val="26"/>
    </w:rPr>
  </w:style>
  <w:style w:type="paragraph" w:styleId="Heading3">
    <w:name w:val="Heading 3"/>
    <w:basedOn w:val="Normal"/>
    <w:next w:val="Normal"/>
    <w:autoRedefine/>
    <w:qFormat/>
    <w:rsid w:val="001d6611"/>
    <w:pPr>
      <w:numPr>
        <w:ilvl w:val="2"/>
        <w:numId w:val="1"/>
      </w:numPr>
      <w:spacing w:before="240" w:after="60"/>
      <w:outlineLvl w:val="2"/>
      <w:outlineLvl w:val="2"/>
    </w:pPr>
    <w:rPr>
      <w:rFonts w:ascii="Arial" w:hAnsi="Arial"/>
      <w:b/>
      <w:color w:val="000099"/>
    </w:rPr>
  </w:style>
  <w:style w:type="paragraph" w:styleId="Heading4">
    <w:name w:val="Heading 4"/>
    <w:basedOn w:val="Normal"/>
    <w:next w:val="Normal"/>
    <w:autoRedefine/>
    <w:qFormat/>
    <w:rsid w:val="001d6611"/>
    <w:pPr>
      <w:keepNext/>
      <w:numPr>
        <w:ilvl w:val="3"/>
        <w:numId w:val="1"/>
      </w:numPr>
      <w:spacing w:before="240" w:after="60"/>
      <w:outlineLvl w:val="3"/>
      <w:outlineLvl w:val="3"/>
    </w:pPr>
    <w:rPr>
      <w:rFonts w:ascii="Arial" w:hAnsi="Arial"/>
      <w:b/>
      <w:i/>
      <w:color w:val="000099"/>
      <w:sz w:val="22"/>
    </w:rPr>
  </w:style>
  <w:style w:type="paragraph" w:styleId="Heading5">
    <w:name w:val="Heading 5"/>
    <w:basedOn w:val="Normal"/>
    <w:next w:val="Normal"/>
    <w:autoRedefine/>
    <w:qFormat/>
    <w:rsid w:val="001d6611"/>
    <w:pPr>
      <w:numPr>
        <w:ilvl w:val="4"/>
        <w:numId w:val="1"/>
      </w:numPr>
      <w:spacing w:before="240" w:after="60"/>
      <w:outlineLvl w:val="4"/>
      <w:outlineLvl w:val="4"/>
    </w:pPr>
    <w:rPr>
      <w:rFonts w:ascii="Arial" w:hAnsi="Arial"/>
      <w:b/>
      <w:color w:val="000099"/>
      <w:sz w:val="22"/>
    </w:rPr>
  </w:style>
  <w:style w:type="paragraph" w:styleId="Heading6">
    <w:name w:val="Heading 6"/>
    <w:basedOn w:val="Normal"/>
    <w:next w:val="Normal"/>
    <w:autoRedefine/>
    <w:qFormat/>
    <w:rsid w:val="001d6611"/>
    <w:pPr>
      <w:numPr>
        <w:ilvl w:val="5"/>
        <w:numId w:val="1"/>
      </w:numPr>
      <w:spacing w:before="240" w:after="60"/>
      <w:outlineLvl w:val="5"/>
      <w:outlineLvl w:val="5"/>
    </w:pPr>
    <w:rPr>
      <w:rFonts w:ascii="Arial" w:hAnsi="Arial"/>
      <w:i/>
      <w:color w:val="000099"/>
      <w:sz w:val="22"/>
    </w:rPr>
  </w:style>
  <w:style w:type="paragraph" w:styleId="Heading7">
    <w:name w:val="Heading 7"/>
    <w:basedOn w:val="Normal"/>
    <w:next w:val="Normal"/>
    <w:autoRedefine/>
    <w:qFormat/>
    <w:rsid w:val="001d6611"/>
    <w:pPr>
      <w:numPr>
        <w:ilvl w:val="6"/>
        <w:numId w:val="1"/>
      </w:numPr>
      <w:spacing w:before="240" w:after="60"/>
      <w:outlineLvl w:val="6"/>
      <w:outlineLvl w:val="6"/>
    </w:pPr>
    <w:rPr>
      <w:rFonts w:ascii="Arial" w:hAnsi="Arial"/>
      <w:b/>
      <w:color w:val="000099"/>
      <w:sz w:val="20"/>
    </w:rPr>
  </w:style>
  <w:style w:type="paragraph" w:styleId="Heading8">
    <w:name w:val="Heading 8"/>
    <w:basedOn w:val="Normal"/>
    <w:next w:val="Normal"/>
    <w:autoRedefine/>
    <w:qFormat/>
    <w:rsid w:val="001d6611"/>
    <w:pPr>
      <w:numPr>
        <w:ilvl w:val="7"/>
        <w:numId w:val="1"/>
      </w:numPr>
      <w:spacing w:before="240" w:after="60"/>
      <w:outlineLvl w:val="7"/>
      <w:outlineLvl w:val="7"/>
    </w:pPr>
    <w:rPr>
      <w:rFonts w:ascii="Arial" w:hAnsi="Arial"/>
      <w:i/>
      <w:color w:val="000099"/>
      <w:sz w:val="20"/>
    </w:rPr>
  </w:style>
  <w:style w:type="paragraph" w:styleId="Heading9">
    <w:name w:val="Heading 9"/>
    <w:basedOn w:val="Normal"/>
    <w:next w:val="Normal"/>
    <w:autoRedefine/>
    <w:qFormat/>
    <w:rsid w:val="001d6611"/>
    <w:pPr>
      <w:numPr>
        <w:ilvl w:val="8"/>
        <w:numId w:val="1"/>
      </w:numPr>
      <w:spacing w:before="240" w:after="60"/>
      <w:outlineLvl w:val="8"/>
      <w:outlineLvl w:val="8"/>
    </w:pPr>
    <w:rPr>
      <w:rFonts w:ascii="Arial" w:hAnsi="Arial"/>
      <w:b/>
      <w:color w:val="000099"/>
      <w:sz w:val="18"/>
    </w:rPr>
  </w:style>
  <w:style w:type="character" w:styleId="DefaultParagraphFont" w:default="1">
    <w:name w:val="Default Paragraph Font"/>
    <w:uiPriority w:val="1"/>
    <w:semiHidden/>
    <w:unhideWhenUsed/>
    <w:qFormat/>
    <w:rPr/>
  </w:style>
  <w:style w:type="character" w:styleId="Footnotereference">
    <w:name w:val="footnote reference"/>
    <w:semiHidden/>
    <w:qFormat/>
    <w:rPr>
      <w:vertAlign w:val="superscript"/>
    </w:rPr>
  </w:style>
  <w:style w:type="character" w:styleId="Pagenumber">
    <w:name w:val="page number"/>
    <w:basedOn w:val="DefaultParagraphFont"/>
    <w:qFormat/>
    <w:rPr/>
  </w:style>
  <w:style w:type="character" w:styleId="InternetLink">
    <w:name w:val="Internet Link"/>
    <w:rPr>
      <w:color w:val="0000FF"/>
      <w:u w:val="single"/>
    </w:rPr>
  </w:style>
  <w:style w:type="character" w:styleId="DocId" w:customStyle="1">
    <w:name w:val="DocId"/>
    <w:basedOn w:val="DefaultParagraphFont"/>
    <w:qFormat/>
    <w:rPr/>
  </w:style>
  <w:style w:type="character" w:styleId="FollowedHyperlink">
    <w:name w:val="FollowedHyperlink"/>
    <w:qFormat/>
    <w:rPr>
      <w:color w:val="800080"/>
      <w:u w:val="single"/>
    </w:rPr>
  </w:style>
  <w:style w:type="character" w:styleId="CopyrightTextChar" w:customStyle="1">
    <w:name w:val="CopyrightText Char"/>
    <w:link w:val="CopyrightText"/>
    <w:qFormat/>
    <w:rsid w:val="00cb3ae6"/>
    <w:rPr>
      <w:color w:val="000000"/>
      <w:szCs w:val="16"/>
      <w:lang w:val="en-GB" w:eastAsia="fr-FR" w:bidi="ar-SA"/>
    </w:rPr>
  </w:style>
  <w:style w:type="character" w:styleId="EuCARDTitleChar" w:customStyle="1">
    <w:name w:val="EuCARD Title Char"/>
    <w:link w:val="EuCARDTitle"/>
    <w:qFormat/>
    <w:rsid w:val="00732434"/>
    <w:rPr>
      <w:rFonts w:ascii="Arial" w:hAnsi="Arial"/>
      <w:b/>
      <w:bCs/>
      <w:color w:val="000099"/>
      <w:spacing w:val="20"/>
      <w:sz w:val="64"/>
      <w:lang w:eastAsia="fr-FR"/>
    </w:rPr>
  </w:style>
  <w:style w:type="character" w:styleId="DocTitleChar" w:customStyle="1">
    <w:name w:val="DocTitle Char"/>
    <w:link w:val="DocTitle"/>
    <w:qFormat/>
    <w:rsid w:val="00732434"/>
    <w:rPr>
      <w:rFonts w:ascii="Arial" w:hAnsi="Arial"/>
      <w:b/>
      <w:bCs/>
      <w:smallCaps/>
      <w:color w:val="000099"/>
      <w:spacing w:val="20"/>
      <w:sz w:val="52"/>
      <w:lang w:eastAsia="fr-FR"/>
    </w:rPr>
  </w:style>
  <w:style w:type="character" w:styleId="DelTitleChar" w:customStyle="1">
    <w:name w:val="DelTitle Char"/>
    <w:link w:val="DelTitle"/>
    <w:qFormat/>
    <w:rsid w:val="00732434"/>
    <w:rPr>
      <w:rFonts w:ascii="Arial" w:hAnsi="Arial"/>
      <w:b/>
      <w:bCs w:val="false"/>
      <w:smallCaps/>
      <w:color w:val="000099"/>
      <w:spacing w:val="20"/>
      <w:sz w:val="36"/>
      <w:lang w:eastAsia="fr-FR"/>
    </w:rPr>
  </w:style>
  <w:style w:type="character" w:styleId="DeliverableChar" w:customStyle="1">
    <w:name w:val="Deliverable Char"/>
    <w:basedOn w:val="DelTitleChar"/>
    <w:link w:val="Deliverable"/>
    <w:qFormat/>
    <w:rsid w:val="00732434"/>
    <w:rPr>
      <w:rFonts w:ascii="Arial" w:hAnsi="Arial"/>
      <w:b/>
      <w:bCs w:val="false"/>
      <w:smallCaps/>
      <w:color w:val="000099"/>
      <w:spacing w:val="20"/>
      <w:sz w:val="36"/>
      <w:lang w:eastAsia="fr-FR"/>
    </w:rPr>
  </w:style>
  <w:style w:type="character" w:styleId="ListLabel1">
    <w:name w:val="ListLabel 1"/>
    <w:qFormat/>
    <w:rPr>
      <w:sz w:val="20"/>
    </w:rPr>
  </w:style>
  <w:style w:type="character" w:styleId="ListLabel2">
    <w:name w:val="ListLabel 2"/>
    <w:qFormat/>
    <w:rPr>
      <w:sz w:val="22"/>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Symbol"/>
    </w:rPr>
  </w:style>
  <w:style w:type="character" w:styleId="ListLabel28">
    <w:name w:val="ListLabel 28"/>
    <w:qFormat/>
    <w:rPr>
      <w:rFonts w:cs="Courier New"/>
    </w:rPr>
  </w:style>
  <w:style w:type="character" w:styleId="ListLabel29">
    <w:name w:val="ListLabel 29"/>
    <w:qFormat/>
    <w:rPr>
      <w:rFonts w:cs="Wingdings"/>
    </w:rPr>
  </w:style>
  <w:style w:type="character" w:styleId="ListLabel30">
    <w:name w:val="ListLabel 30"/>
    <w:qFormat/>
    <w:rPr>
      <w:rFonts w:cs="Symbol"/>
    </w:rPr>
  </w:style>
  <w:style w:type="character" w:styleId="ListLabel31">
    <w:name w:val="ListLabel 31"/>
    <w:qFormat/>
    <w:rPr>
      <w:rFonts w:cs="Courier New"/>
    </w:rPr>
  </w:style>
  <w:style w:type="character" w:styleId="ListLabel32">
    <w:name w:val="ListLabel 32"/>
    <w:qFormat/>
    <w:rPr>
      <w:rFonts w:cs="Wingdings"/>
    </w:rPr>
  </w:style>
  <w:style w:type="character" w:styleId="ListLabel33">
    <w:name w:val="ListLabel 33"/>
    <w:qFormat/>
    <w:rPr>
      <w:rFonts w:cs="Symbol"/>
    </w:rPr>
  </w:style>
  <w:style w:type="character" w:styleId="ListLabel34">
    <w:name w:val="ListLabel 34"/>
    <w:qFormat/>
    <w:rPr>
      <w:rFonts w:cs="Courier New"/>
    </w:rPr>
  </w:style>
  <w:style w:type="character" w:styleId="ListLabel35">
    <w:name w:val="ListLabel 35"/>
    <w:qFormat/>
    <w:rPr>
      <w:rFonts w:cs="Wingdings"/>
    </w:rPr>
  </w:style>
  <w:style w:type="paragraph" w:styleId="Heading">
    <w:name w:val="Heading"/>
    <w:basedOn w:val="Normal"/>
    <w:next w:val="TextBody"/>
    <w:qFormat/>
    <w:pPr>
      <w:keepNext/>
      <w:spacing w:before="240" w:after="120"/>
    </w:pPr>
    <w:rPr>
      <w:rFonts w:ascii="Liberation Sans" w:hAnsi="Liberation Sans" w:eastAsia="AR PL SungtiL GB" w:cs="FreeSans"/>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Header">
    <w:name w:val="Header"/>
    <w:basedOn w:val="Normal"/>
    <w:pPr>
      <w:tabs>
        <w:tab w:val="center" w:pos="4819" w:leader="none"/>
        <w:tab w:val="right" w:pos="9071" w:leader="none"/>
      </w:tabs>
    </w:pPr>
    <w:rPr>
      <w:sz w:val="22"/>
    </w:rPr>
  </w:style>
  <w:style w:type="paragraph" w:styleId="Footer">
    <w:name w:val="Footer"/>
    <w:basedOn w:val="Normal"/>
    <w:pPr>
      <w:tabs>
        <w:tab w:val="center" w:pos="4536" w:leader="none"/>
        <w:tab w:val="right" w:pos="9072" w:leader="none"/>
      </w:tabs>
    </w:pPr>
    <w:rPr/>
  </w:style>
  <w:style w:type="paragraph" w:styleId="Footnotetext">
    <w:name w:val="footnote text"/>
    <w:basedOn w:val="Normal"/>
    <w:semiHidden/>
    <w:qFormat/>
    <w:pPr>
      <w:widowControl w:val="false"/>
    </w:pPr>
    <w:rPr/>
  </w:style>
  <w:style w:type="paragraph" w:styleId="Caption1">
    <w:name w:val="caption"/>
    <w:basedOn w:val="Normal"/>
    <w:next w:val="Normal"/>
    <w:qFormat/>
    <w:rsid w:val="00bd2d2e"/>
    <w:pPr>
      <w:spacing w:before="120" w:after="120"/>
      <w:jc w:val="center"/>
    </w:pPr>
    <w:rPr>
      <w:i/>
      <w:sz w:val="20"/>
    </w:rPr>
  </w:style>
  <w:style w:type="paragraph" w:styleId="Contents1">
    <w:name w:val="TOC 1"/>
    <w:basedOn w:val="Normal"/>
    <w:next w:val="Normal"/>
    <w:autoRedefine/>
    <w:uiPriority w:val="39"/>
    <w:semiHidden/>
    <w:rsid w:val="00ce03b6"/>
    <w:pPr>
      <w:tabs>
        <w:tab w:val="left" w:pos="440" w:leader="none"/>
        <w:tab w:val="right" w:pos="9062" w:leader="dot"/>
      </w:tabs>
      <w:spacing w:before="120" w:after="120"/>
    </w:pPr>
    <w:rPr>
      <w:b/>
      <w:caps/>
      <w:sz w:val="20"/>
    </w:rPr>
  </w:style>
  <w:style w:type="paragraph" w:styleId="Contents2">
    <w:name w:val="TOC 2"/>
    <w:basedOn w:val="Normal"/>
    <w:next w:val="Normal"/>
    <w:autoRedefine/>
    <w:uiPriority w:val="39"/>
    <w:semiHidden/>
    <w:rsid w:val="0069271c"/>
    <w:pPr>
      <w:tabs>
        <w:tab w:val="left" w:pos="880" w:leader="none"/>
        <w:tab w:val="right" w:pos="9638" w:leader="dot"/>
      </w:tabs>
      <w:spacing w:before="0" w:after="0"/>
      <w:ind w:left="220" w:hanging="0"/>
    </w:pPr>
    <w:rPr>
      <w:smallCaps/>
      <w:sz w:val="20"/>
    </w:rPr>
  </w:style>
  <w:style w:type="paragraph" w:styleId="Contents3">
    <w:name w:val="TOC 3"/>
    <w:basedOn w:val="Normal"/>
    <w:next w:val="Normal"/>
    <w:autoRedefine/>
    <w:semiHidden/>
    <w:pPr>
      <w:spacing w:before="0" w:after="0"/>
      <w:ind w:left="440" w:hanging="0"/>
    </w:pPr>
    <w:rPr>
      <w:i/>
      <w:sz w:val="20"/>
    </w:rPr>
  </w:style>
  <w:style w:type="paragraph" w:styleId="Contents4">
    <w:name w:val="TOC 4"/>
    <w:basedOn w:val="Normal"/>
    <w:next w:val="Normal"/>
    <w:autoRedefine/>
    <w:semiHidden/>
    <w:pPr>
      <w:spacing w:before="0" w:after="0"/>
      <w:ind w:left="660" w:hanging="0"/>
    </w:pPr>
    <w:rPr>
      <w:sz w:val="18"/>
    </w:rPr>
  </w:style>
  <w:style w:type="paragraph" w:styleId="Contents5">
    <w:name w:val="TOC 5"/>
    <w:basedOn w:val="Normal"/>
    <w:next w:val="Normal"/>
    <w:autoRedefine/>
    <w:semiHidden/>
    <w:pPr>
      <w:spacing w:before="0" w:after="0"/>
      <w:ind w:left="880" w:hanging="0"/>
    </w:pPr>
    <w:rPr>
      <w:sz w:val="18"/>
    </w:rPr>
  </w:style>
  <w:style w:type="paragraph" w:styleId="Contents6">
    <w:name w:val="TOC 6"/>
    <w:basedOn w:val="Normal"/>
    <w:next w:val="Normal"/>
    <w:autoRedefine/>
    <w:semiHidden/>
    <w:pPr>
      <w:spacing w:before="0" w:after="0"/>
      <w:ind w:left="1100" w:hanging="0"/>
    </w:pPr>
    <w:rPr>
      <w:sz w:val="18"/>
    </w:rPr>
  </w:style>
  <w:style w:type="paragraph" w:styleId="Contents7">
    <w:name w:val="TOC 7"/>
    <w:basedOn w:val="Normal"/>
    <w:next w:val="Normal"/>
    <w:autoRedefine/>
    <w:semiHidden/>
    <w:pPr>
      <w:spacing w:before="0" w:after="0"/>
      <w:ind w:left="1320" w:hanging="0"/>
    </w:pPr>
    <w:rPr>
      <w:sz w:val="18"/>
    </w:rPr>
  </w:style>
  <w:style w:type="paragraph" w:styleId="Contents8">
    <w:name w:val="TOC 8"/>
    <w:basedOn w:val="Normal"/>
    <w:next w:val="Normal"/>
    <w:autoRedefine/>
    <w:semiHidden/>
    <w:pPr>
      <w:spacing w:before="0" w:after="0"/>
      <w:ind w:left="1540" w:hanging="0"/>
    </w:pPr>
    <w:rPr>
      <w:sz w:val="18"/>
    </w:rPr>
  </w:style>
  <w:style w:type="paragraph" w:styleId="Contents9">
    <w:name w:val="TOC 9"/>
    <w:basedOn w:val="Normal"/>
    <w:next w:val="Normal"/>
    <w:autoRedefine/>
    <w:semiHidden/>
    <w:pPr>
      <w:spacing w:before="0" w:after="0"/>
      <w:ind w:left="1760" w:hanging="0"/>
    </w:pPr>
    <w:rPr>
      <w:sz w:val="18"/>
    </w:rPr>
  </w:style>
  <w:style w:type="paragraph" w:styleId="Annotationtext">
    <w:name w:val="annotation text"/>
    <w:basedOn w:val="Normal"/>
    <w:semiHidden/>
    <w:qFormat/>
    <w:pPr>
      <w:spacing w:before="40" w:after="120"/>
    </w:pPr>
    <w:rPr>
      <w:sz w:val="16"/>
      <w:lang w:val="en-US"/>
    </w:rPr>
  </w:style>
  <w:style w:type="paragraph" w:styleId="DocumentMap">
    <w:name w:val="Document Map"/>
    <w:basedOn w:val="Normal"/>
    <w:semiHidden/>
    <w:qFormat/>
    <w:pPr>
      <w:shd w:val="clear" w:color="auto" w:fill="000080"/>
    </w:pPr>
    <w:rPr>
      <w:rFonts w:ascii="Tahoma" w:hAnsi="Tahoma" w:cs="Helvetica"/>
    </w:rPr>
  </w:style>
  <w:style w:type="paragraph" w:styleId="DocTitle" w:customStyle="1">
    <w:name w:val="DocTitle"/>
    <w:basedOn w:val="EuCARDTitle"/>
    <w:link w:val="DocTitleChar"/>
    <w:qFormat/>
    <w:rsid w:val="00dd7e05"/>
    <w:pPr/>
    <w:rPr>
      <w:smallCaps/>
      <w:color w:val="00000A"/>
      <w:sz w:val="52"/>
    </w:rPr>
  </w:style>
  <w:style w:type="paragraph" w:styleId="DocDate" w:customStyle="1">
    <w:name w:val="DocDate"/>
    <w:basedOn w:val="Normal"/>
    <w:qFormat/>
    <w:rsid w:val="00b52f32"/>
    <w:pPr>
      <w:spacing w:before="120" w:after="120"/>
    </w:pPr>
    <w:rPr/>
  </w:style>
  <w:style w:type="paragraph" w:styleId="DocSubTitle" w:customStyle="1">
    <w:name w:val="DocSubTitle"/>
    <w:basedOn w:val="DocTitle"/>
    <w:next w:val="Normal"/>
    <w:qFormat/>
    <w:pPr/>
    <w:rPr>
      <w:sz w:val="24"/>
    </w:rPr>
  </w:style>
  <w:style w:type="paragraph" w:styleId="BalloonText">
    <w:name w:val="Balloon Text"/>
    <w:basedOn w:val="Normal"/>
    <w:semiHidden/>
    <w:qFormat/>
    <w:rsid w:val="00fa3617"/>
    <w:pPr/>
    <w:rPr>
      <w:rFonts w:ascii="Tahoma" w:hAnsi="Tahoma" w:cs="Tahoma"/>
      <w:sz w:val="16"/>
      <w:szCs w:val="16"/>
    </w:rPr>
  </w:style>
  <w:style w:type="paragraph" w:styleId="Tableoffigures">
    <w:name w:val="table of figures"/>
    <w:basedOn w:val="Normal"/>
    <w:next w:val="Normal"/>
    <w:semiHidden/>
    <w:qFormat/>
    <w:rsid w:val="0019799e"/>
    <w:pPr/>
    <w:rPr/>
  </w:style>
  <w:style w:type="paragraph" w:styleId="Default" w:customStyle="1">
    <w:name w:val="Default"/>
    <w:qFormat/>
    <w:rsid w:val="007c18f4"/>
    <w:pPr>
      <w:widowControl/>
      <w:bidi w:val="0"/>
      <w:jc w:val="left"/>
    </w:pPr>
    <w:rPr>
      <w:rFonts w:ascii="Arial" w:hAnsi="Arial" w:eastAsia="Times New Roman" w:cs="Arial"/>
      <w:color w:val="000000"/>
      <w:sz w:val="24"/>
      <w:szCs w:val="24"/>
      <w:lang w:val="en-US" w:eastAsia="en-US" w:bidi="ar-SA"/>
    </w:rPr>
  </w:style>
  <w:style w:type="paragraph" w:styleId="NormalWeb">
    <w:name w:val="Normal (Web)"/>
    <w:basedOn w:val="Normal"/>
    <w:qFormat/>
    <w:rsid w:val="00276b7a"/>
    <w:pPr>
      <w:suppressAutoHyphens w:val="false"/>
      <w:spacing w:beforeAutospacing="1" w:afterAutospacing="1"/>
      <w:jc w:val="left"/>
    </w:pPr>
    <w:rPr>
      <w:szCs w:val="24"/>
      <w:lang w:val="en-US" w:eastAsia="en-US"/>
    </w:rPr>
  </w:style>
  <w:style w:type="paragraph" w:styleId="EuCARDTitle" w:customStyle="1">
    <w:name w:val="EuCARD Title"/>
    <w:basedOn w:val="Normal"/>
    <w:link w:val="EuCARDTitleChar"/>
    <w:qFormat/>
    <w:rsid w:val="001d6611"/>
    <w:pPr>
      <w:spacing w:lineRule="atLeast" w:line="240"/>
      <w:jc w:val="center"/>
    </w:pPr>
    <w:rPr>
      <w:rFonts w:ascii="Arial" w:hAnsi="Arial"/>
      <w:b/>
      <w:bCs/>
      <w:color w:val="000099"/>
      <w:spacing w:val="20"/>
      <w:sz w:val="64"/>
    </w:rPr>
  </w:style>
  <w:style w:type="paragraph" w:styleId="EuCARDSubtitle" w:customStyle="1">
    <w:name w:val="EuCARD Subtitle"/>
    <w:basedOn w:val="EuCARDTitle"/>
    <w:qFormat/>
    <w:rsid w:val="001d6611"/>
    <w:pPr/>
    <w:rPr>
      <w:b w:val="false"/>
      <w:sz w:val="24"/>
    </w:rPr>
  </w:style>
  <w:style w:type="paragraph" w:styleId="DelTitle" w:customStyle="1">
    <w:name w:val="DelTitle"/>
    <w:basedOn w:val="DocTitle"/>
    <w:link w:val="DelTitleChar"/>
    <w:qFormat/>
    <w:rsid w:val="0004175d"/>
    <w:pPr/>
    <w:rPr>
      <w:bCs w:val="false"/>
      <w:sz w:val="36"/>
    </w:rPr>
  </w:style>
  <w:style w:type="paragraph" w:styleId="CoverTitle" w:customStyle="1">
    <w:name w:val="CoverTitle"/>
    <w:basedOn w:val="Normal"/>
    <w:qFormat/>
    <w:rsid w:val="0004175d"/>
    <w:pPr>
      <w:spacing w:before="120" w:after="120"/>
      <w:jc w:val="left"/>
    </w:pPr>
    <w:rPr>
      <w:rFonts w:ascii="Arial" w:hAnsi="Arial"/>
      <w:b/>
    </w:rPr>
  </w:style>
  <w:style w:type="paragraph" w:styleId="CopyrightTitle" w:customStyle="1">
    <w:name w:val="CopyrightTitle"/>
    <w:basedOn w:val="Normal"/>
    <w:qFormat/>
    <w:rsid w:val="00cb3ae6"/>
    <w:pPr/>
    <w:rPr>
      <w:color w:val="000000"/>
      <w:sz w:val="20"/>
      <w:szCs w:val="16"/>
      <w:u w:val="single"/>
    </w:rPr>
  </w:style>
  <w:style w:type="paragraph" w:styleId="CopyrightText" w:customStyle="1">
    <w:name w:val="CopyrightText"/>
    <w:basedOn w:val="Normal"/>
    <w:link w:val="CopyrightTextChar"/>
    <w:qFormat/>
    <w:rsid w:val="00cb3ae6"/>
    <w:pPr/>
    <w:rPr>
      <w:color w:val="000000"/>
      <w:sz w:val="20"/>
      <w:szCs w:val="16"/>
    </w:rPr>
  </w:style>
  <w:style w:type="paragraph" w:styleId="CenteredTitle" w:customStyle="1">
    <w:name w:val="CenteredTitle"/>
    <w:basedOn w:val="CoverTitle"/>
    <w:qFormat/>
    <w:rsid w:val="005822a8"/>
    <w:pPr>
      <w:jc w:val="center"/>
    </w:pPr>
    <w:rPr>
      <w:bCs/>
    </w:rPr>
  </w:style>
  <w:style w:type="paragraph" w:styleId="EuCARDSubtitle9pt" w:customStyle="1">
    <w:name w:val="EuCARD Subtitle 9pt"/>
    <w:basedOn w:val="EuCARDSubtitle"/>
    <w:qFormat/>
    <w:rsid w:val="00365fd7"/>
    <w:pPr/>
    <w:rPr>
      <w:bCs w:val="false"/>
      <w:sz w:val="18"/>
    </w:rPr>
  </w:style>
  <w:style w:type="paragraph" w:styleId="ReportType" w:customStyle="1">
    <w:name w:val="Report Type"/>
    <w:basedOn w:val="Normal"/>
    <w:qFormat/>
    <w:rsid w:val="005d0b60"/>
    <w:pPr>
      <w:shd w:val="clear" w:color="auto" w:fill="000000"/>
      <w:jc w:val="center"/>
    </w:pPr>
    <w:rPr>
      <w:rFonts w:ascii="Arial" w:hAnsi="Arial"/>
      <w:b/>
      <w:bCs/>
      <w:caps/>
      <w:sz w:val="48"/>
    </w:rPr>
  </w:style>
  <w:style w:type="paragraph" w:styleId="Deliverable" w:customStyle="1">
    <w:name w:val="Deliverable"/>
    <w:basedOn w:val="DelTitle"/>
    <w:link w:val="DeliverableChar"/>
    <w:qFormat/>
    <w:rsid w:val="00732434"/>
    <w:pPr/>
    <w:rPr/>
  </w:style>
  <w:style w:type="paragraph" w:styleId="ListParagraph">
    <w:name w:val="List Paragraph"/>
    <w:basedOn w:val="Normal"/>
    <w:uiPriority w:val="34"/>
    <w:qFormat/>
    <w:rsid w:val="0006284d"/>
    <w:pPr>
      <w:spacing w:before="40" w:after="40"/>
      <w:ind w:left="720" w:hanging="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rsid w:val="00c1105e"/>
    <w:pPr>
      <w:spacing w:before="40" w:after="4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aida2020.web.cern.ch/"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tif"/><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yperlink" Target="http://arxiv.org/abs/arXiv:1905.02520" TargetMode="External"/><Relationship Id="rId19" Type="http://schemas.openxmlformats.org/officeDocument/2006/relationships/hyperlink" Target="https://indico.cern.ch/event/697988/contributions/3055910/attachments/1718342/2772974/idzik_TWEPP2018_FLAME.pdf" TargetMode="External"/><Relationship Id="rId20" Type="http://schemas.openxmlformats.org/officeDocument/2006/relationships/hyperlink" Target="https://indico.cern.ch/event/697988/contributions/3055906/attachments/1718216/2772757/moron_Twepp_ADC_2018_09.pdf" TargetMode="External"/><Relationship Id="rId21" Type="http://schemas.openxmlformats.org/officeDocument/2006/relationships/header" Target="header3.xml"/><Relationship Id="rId22" Type="http://schemas.openxmlformats.org/officeDocument/2006/relationships/footer" Target="footer3.xml"/><Relationship Id="rId23" Type="http://schemas.openxmlformats.org/officeDocument/2006/relationships/numbering" Target="numbering.xm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Relationship Id="rId27" Type="http://schemas.openxmlformats.org/officeDocument/2006/relationships/customXml" Target="../customXml/item1.xml"/><Relationship Id="rId28" Type="http://schemas.openxmlformats.org/officeDocument/2006/relationships/customXml" Target="../customXml/item2.xml"/><Relationship Id="rId29" Type="http://schemas.openxmlformats.org/officeDocument/2006/relationships/customXml" Target="../customXml/item3.xml"/><Relationship Id="rId30" Type="http://schemas.openxmlformats.org/officeDocument/2006/relationships/customXml" Target="../customXml/item4.xml"/>
</Relationships>
</file>

<file path=word/_rels/header1.xml.rels><?xml version="1.0" encoding="UTF-8"?>
<Relationships xmlns="http://schemas.openxmlformats.org/package/2006/relationships"><Relationship Id="rId1" Type="http://schemas.openxmlformats.org/officeDocument/2006/relationships/image" Target="media/image12.png"/>
</Relationships>
</file>

<file path=word/_rels/header2.xml.rels><?xml version="1.0" encoding="UTF-8"?>
<Relationships xmlns="http://schemas.openxmlformats.org/package/2006/relationships"><Relationship Id="rId1" Type="http://schemas.openxmlformats.org/officeDocument/2006/relationships/image" Target="media/image13.png"/>
</Relationships>
</file>

<file path=word/_rels/header3.xml.rels><?xml version="1.0" encoding="UTF-8"?>
<Relationships xmlns="http://schemas.openxmlformats.org/package/2006/relationships"><Relationship Id="rId1" Type="http://schemas.openxmlformats.org/officeDocument/2006/relationships/image" Target="media/image1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43CD2ED6F086845BFF54B8EE84C6594" ma:contentTypeVersion="0" ma:contentTypeDescription="Create a new document." ma:contentTypeScope="" ma:versionID="26012c452617e524910ff6def008cef1">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93255C-B7F8-4A51-A906-004A233A887F}">
  <ds:schemaRefs>
    <ds:schemaRef ds:uri="http://schemas.microsoft.com/sharepoint/v3/contenttype/forms"/>
  </ds:schemaRefs>
</ds:datastoreItem>
</file>

<file path=customXml/itemProps2.xml><?xml version="1.0" encoding="utf-8"?>
<ds:datastoreItem xmlns:ds="http://schemas.openxmlformats.org/officeDocument/2006/customXml" ds:itemID="{970080A2-E664-4111-A615-A9BF95F0EF06}">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35E00AD1-19AE-4B1B-A8CF-3329C1AA4ED4}"/>
</file>

<file path=customXml/itemProps4.xml><?xml version="1.0" encoding="utf-8"?>
<ds:datastoreItem xmlns:ds="http://schemas.openxmlformats.org/officeDocument/2006/customXml" ds:itemID="{A972DE73-5521-4781-B638-A2CA56C15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14233</TotalTime>
  <Application>LibreOffice/5.2.7.2$Linux_X86_64 LibreOffice_project/20m0$Build-2</Application>
  <Pages>14</Pages>
  <Words>2938</Words>
  <Characters>15760</Characters>
  <CharactersWithSpaces>18550</CharactersWithSpaces>
  <Paragraphs>166</Paragraphs>
  <Company>EGEE</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2016-05-04T07:34:00Z</dcterms:created>
  <dc:creator>Livia Lapadatescu</dc:creator>
  <dc:description/>
  <dc:language>en-US</dc:language>
  <cp:lastModifiedBy/>
  <cp:lastPrinted>2019-12-23T18:28:50Z</cp:lastPrinted>
  <dcterms:modified xsi:type="dcterms:W3CDTF">2020-01-02T16:51:51Z</dcterms:modified>
  <cp:revision>63</cp:revision>
  <dc:subject/>
  <dc:title>AIDA-2020 Deliverable</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EGEE</vt:lpwstr>
  </property>
  <property fmtid="{D5CDD505-2E9C-101B-9397-08002B2CF9AE}" pid="4" name="ContentType">
    <vt:lpwstr>Document</vt:lpwstr>
  </property>
  <property fmtid="{D5CDD505-2E9C-101B-9397-08002B2CF9AE}" pid="5" name="ContentTypeId">
    <vt:lpwstr>0x010100443CD2ED6F086845BFF54B8EE84C6594</vt:lpwstr>
  </property>
  <property fmtid="{D5CDD505-2E9C-101B-9397-08002B2CF9AE}" pid="6" name="DocSecurity">
    <vt:i4>0</vt:i4>
  </property>
  <property fmtid="{D5CDD505-2E9C-101B-9397-08002B2CF9AE}" pid="7" name="HyperlinksChanged">
    <vt:bool>0</vt:bool>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